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BB0CC" w14:textId="19EFA9BD" w:rsidR="00296FAB" w:rsidRDefault="00296FAB" w:rsidP="00296FAB">
      <w:pPr>
        <w:pStyle w:val="Default"/>
        <w:jc w:val="center"/>
        <w:rPr>
          <w:sz w:val="22"/>
          <w:szCs w:val="22"/>
        </w:rPr>
      </w:pPr>
      <w:r>
        <w:rPr>
          <w:noProof/>
        </w:rPr>
        <w:drawing>
          <wp:anchor distT="0" distB="0" distL="0" distR="0" simplePos="0" relativeHeight="251659264" behindDoc="0" locked="0" layoutInCell="1" allowOverlap="1" wp14:anchorId="1A4F7721" wp14:editId="00EEB066">
            <wp:simplePos x="0" y="0"/>
            <wp:positionH relativeFrom="page">
              <wp:posOffset>2406650</wp:posOffset>
            </wp:positionH>
            <wp:positionV relativeFrom="paragraph">
              <wp:posOffset>0</wp:posOffset>
            </wp:positionV>
            <wp:extent cx="2662532" cy="1273492"/>
            <wp:effectExtent l="0" t="0" r="0" b="0"/>
            <wp:wrapTopAndBottom/>
            <wp:docPr id="7" name="image4.jpeg"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jpeg" descr="A close-up of a logo&#10;&#10;AI-generated content may be incorrect."/>
                    <pic:cNvPicPr/>
                  </pic:nvPicPr>
                  <pic:blipFill>
                    <a:blip r:embed="rId8" cstate="email">
                      <a:extLst>
                        <a:ext uri="{28A0092B-C50C-407E-A947-70E740481C1C}">
                          <a14:useLocalDpi xmlns:a14="http://schemas.microsoft.com/office/drawing/2010/main"/>
                        </a:ext>
                      </a:extLst>
                    </a:blip>
                    <a:stretch>
                      <a:fillRect/>
                    </a:stretch>
                  </pic:blipFill>
                  <pic:spPr>
                    <a:xfrm>
                      <a:off x="0" y="0"/>
                      <a:ext cx="2662532" cy="1273492"/>
                    </a:xfrm>
                    <a:prstGeom prst="rect">
                      <a:avLst/>
                    </a:prstGeom>
                  </pic:spPr>
                </pic:pic>
              </a:graphicData>
            </a:graphic>
          </wp:anchor>
        </w:drawing>
      </w:r>
    </w:p>
    <w:p w14:paraId="668C2E74" w14:textId="15273592" w:rsidR="00296FAB" w:rsidRDefault="00296FAB" w:rsidP="00296FAB">
      <w:pPr>
        <w:pStyle w:val="Default"/>
        <w:jc w:val="center"/>
        <w:rPr>
          <w:sz w:val="28"/>
          <w:szCs w:val="28"/>
        </w:rPr>
      </w:pPr>
      <w:r>
        <w:rPr>
          <w:sz w:val="28"/>
          <w:szCs w:val="28"/>
        </w:rPr>
        <w:t>1</w:t>
      </w:r>
      <w:r w:rsidR="00FE0578">
        <w:rPr>
          <w:sz w:val="28"/>
          <w:szCs w:val="28"/>
        </w:rPr>
        <w:t>8</w:t>
      </w:r>
      <w:r>
        <w:rPr>
          <w:sz w:val="18"/>
          <w:szCs w:val="18"/>
        </w:rPr>
        <w:t xml:space="preserve">th </w:t>
      </w:r>
      <w:r>
        <w:rPr>
          <w:sz w:val="28"/>
          <w:szCs w:val="28"/>
        </w:rPr>
        <w:t>International NECTAR Conference</w:t>
      </w:r>
    </w:p>
    <w:p w14:paraId="2ADEF8E0" w14:textId="71124B45" w:rsidR="00296FAB" w:rsidRDefault="00FE0578" w:rsidP="00296FAB">
      <w:pPr>
        <w:pStyle w:val="Default"/>
        <w:jc w:val="center"/>
        <w:rPr>
          <w:sz w:val="28"/>
          <w:szCs w:val="28"/>
        </w:rPr>
      </w:pPr>
      <w:r>
        <w:rPr>
          <w:sz w:val="28"/>
          <w:szCs w:val="28"/>
        </w:rPr>
        <w:t>Munich</w:t>
      </w:r>
      <w:r w:rsidR="00296FAB">
        <w:rPr>
          <w:sz w:val="28"/>
          <w:szCs w:val="28"/>
        </w:rPr>
        <w:t xml:space="preserve">, </w:t>
      </w:r>
      <w:r>
        <w:rPr>
          <w:sz w:val="28"/>
          <w:szCs w:val="28"/>
        </w:rPr>
        <w:t>Germany</w:t>
      </w:r>
      <w:r w:rsidR="00296FAB">
        <w:rPr>
          <w:sz w:val="28"/>
          <w:szCs w:val="28"/>
        </w:rPr>
        <w:t xml:space="preserve">, </w:t>
      </w:r>
      <w:r>
        <w:rPr>
          <w:sz w:val="28"/>
          <w:szCs w:val="28"/>
        </w:rPr>
        <w:t>1</w:t>
      </w:r>
      <w:r w:rsidR="00296FAB">
        <w:rPr>
          <w:sz w:val="28"/>
          <w:szCs w:val="28"/>
        </w:rPr>
        <w:t xml:space="preserve">3 - </w:t>
      </w:r>
      <w:r>
        <w:rPr>
          <w:sz w:val="28"/>
          <w:szCs w:val="28"/>
        </w:rPr>
        <w:t>1</w:t>
      </w:r>
      <w:r w:rsidR="00296FAB">
        <w:rPr>
          <w:sz w:val="28"/>
          <w:szCs w:val="28"/>
        </w:rPr>
        <w:t>5 July 202</w:t>
      </w:r>
      <w:r>
        <w:rPr>
          <w:sz w:val="28"/>
          <w:szCs w:val="28"/>
        </w:rPr>
        <w:t>6</w:t>
      </w:r>
    </w:p>
    <w:p w14:paraId="5046027D" w14:textId="77777777" w:rsidR="00296FAB" w:rsidRDefault="00296FAB" w:rsidP="0084724A">
      <w:pPr>
        <w:pStyle w:val="Default"/>
        <w:rPr>
          <w:b/>
          <w:bCs/>
          <w:sz w:val="36"/>
          <w:szCs w:val="36"/>
        </w:rPr>
      </w:pPr>
    </w:p>
    <w:p w14:paraId="0F05E113" w14:textId="77777777" w:rsidR="0084724A" w:rsidRDefault="0084724A" w:rsidP="0084724A">
      <w:pPr>
        <w:pStyle w:val="Default"/>
        <w:rPr>
          <w:b/>
          <w:bCs/>
          <w:sz w:val="28"/>
          <w:szCs w:val="28"/>
        </w:rPr>
      </w:pPr>
    </w:p>
    <w:p w14:paraId="2A19E7E4" w14:textId="69D68ED7" w:rsidR="00296FAB" w:rsidRDefault="0084724A" w:rsidP="00296FAB">
      <w:pPr>
        <w:pStyle w:val="Default"/>
        <w:jc w:val="center"/>
        <w:rPr>
          <w:b/>
          <w:bCs/>
          <w:sz w:val="28"/>
          <w:szCs w:val="28"/>
        </w:rPr>
      </w:pPr>
      <w:r w:rsidRPr="0084724A">
        <w:rPr>
          <w:b/>
          <w:bCs/>
          <w:sz w:val="28"/>
          <w:szCs w:val="28"/>
        </w:rPr>
        <w:t>Call for papers for the thematic session o</w:t>
      </w:r>
      <w:r w:rsidRPr="00E7722F">
        <w:rPr>
          <w:b/>
          <w:bCs/>
          <w:sz w:val="28"/>
          <w:szCs w:val="28"/>
        </w:rPr>
        <w:t xml:space="preserve">f Cluster </w:t>
      </w:r>
      <w:r w:rsidR="00777EAE">
        <w:rPr>
          <w:b/>
          <w:bCs/>
          <w:sz w:val="28"/>
          <w:szCs w:val="28"/>
        </w:rPr>
        <w:t>2</w:t>
      </w:r>
      <w:r w:rsidRPr="00E7722F">
        <w:rPr>
          <w:b/>
          <w:bCs/>
          <w:sz w:val="28"/>
          <w:szCs w:val="28"/>
        </w:rPr>
        <w:t xml:space="preserve">: </w:t>
      </w:r>
      <w:r w:rsidR="00777EAE">
        <w:rPr>
          <w:b/>
          <w:bCs/>
          <w:sz w:val="28"/>
          <w:szCs w:val="28"/>
        </w:rPr>
        <w:t>Policy and Environment</w:t>
      </w:r>
      <w:r w:rsidR="0014191E" w:rsidRPr="00E7722F">
        <w:rPr>
          <w:b/>
          <w:bCs/>
          <w:sz w:val="28"/>
          <w:szCs w:val="28"/>
        </w:rPr>
        <w:t xml:space="preserve"> </w:t>
      </w:r>
    </w:p>
    <w:p w14:paraId="1AEFE94E" w14:textId="77777777" w:rsidR="0084724A" w:rsidRDefault="0084724A" w:rsidP="00296FAB">
      <w:pPr>
        <w:pStyle w:val="Default"/>
        <w:jc w:val="center"/>
        <w:rPr>
          <w:b/>
          <w:bCs/>
          <w:sz w:val="28"/>
          <w:szCs w:val="28"/>
        </w:rPr>
      </w:pPr>
    </w:p>
    <w:p w14:paraId="40909AF3" w14:textId="36D5D1ED" w:rsidR="0084724A" w:rsidRDefault="00777EAE" w:rsidP="0014191E">
      <w:pPr>
        <w:pStyle w:val="Default"/>
        <w:jc w:val="center"/>
        <w:rPr>
          <w:sz w:val="22"/>
          <w:szCs w:val="22"/>
        </w:rPr>
      </w:pPr>
      <w:r>
        <w:rPr>
          <w:b/>
          <w:bCs/>
          <w:sz w:val="28"/>
          <w:szCs w:val="28"/>
        </w:rPr>
        <w:t xml:space="preserve">Transport and </w:t>
      </w:r>
      <w:r w:rsidR="00AC746A">
        <w:rPr>
          <w:b/>
          <w:bCs/>
          <w:sz w:val="28"/>
          <w:szCs w:val="28"/>
        </w:rPr>
        <w:t>H</w:t>
      </w:r>
      <w:r>
        <w:rPr>
          <w:b/>
          <w:bCs/>
          <w:sz w:val="28"/>
          <w:szCs w:val="28"/>
        </w:rPr>
        <w:t xml:space="preserve">ealth </w:t>
      </w:r>
      <w:r w:rsidR="00AC746A">
        <w:rPr>
          <w:b/>
          <w:bCs/>
          <w:sz w:val="28"/>
          <w:szCs w:val="28"/>
        </w:rPr>
        <w:t>I</w:t>
      </w:r>
      <w:r>
        <w:rPr>
          <w:b/>
          <w:bCs/>
          <w:sz w:val="28"/>
          <w:szCs w:val="28"/>
        </w:rPr>
        <w:t xml:space="preserve">ntegration in a </w:t>
      </w:r>
      <w:r w:rsidR="00AC746A">
        <w:rPr>
          <w:b/>
          <w:bCs/>
          <w:sz w:val="28"/>
          <w:szCs w:val="28"/>
        </w:rPr>
        <w:t>S</w:t>
      </w:r>
      <w:r>
        <w:rPr>
          <w:b/>
          <w:bCs/>
          <w:sz w:val="28"/>
          <w:szCs w:val="28"/>
        </w:rPr>
        <w:t xml:space="preserve">ustainable </w:t>
      </w:r>
      <w:r w:rsidR="00AC746A">
        <w:rPr>
          <w:b/>
          <w:bCs/>
          <w:sz w:val="28"/>
          <w:szCs w:val="28"/>
        </w:rPr>
        <w:t>F</w:t>
      </w:r>
      <w:r>
        <w:rPr>
          <w:b/>
          <w:bCs/>
          <w:sz w:val="28"/>
          <w:szCs w:val="28"/>
        </w:rPr>
        <w:t xml:space="preserve">uture </w:t>
      </w:r>
    </w:p>
    <w:p w14:paraId="22AC2CB5" w14:textId="77777777" w:rsidR="0084724A" w:rsidRDefault="0084724A" w:rsidP="00296FAB">
      <w:pPr>
        <w:pStyle w:val="Default"/>
        <w:rPr>
          <w:sz w:val="22"/>
          <w:szCs w:val="22"/>
        </w:rPr>
      </w:pPr>
    </w:p>
    <w:p w14:paraId="0BA3BAF2" w14:textId="77777777" w:rsidR="0084724A" w:rsidRDefault="0084724A" w:rsidP="00296FAB">
      <w:pPr>
        <w:pStyle w:val="Default"/>
        <w:rPr>
          <w:sz w:val="22"/>
          <w:szCs w:val="22"/>
        </w:rPr>
      </w:pPr>
    </w:p>
    <w:p w14:paraId="67A03772" w14:textId="5ED4C1AA" w:rsidR="005A3892" w:rsidRDefault="005A3892" w:rsidP="0014191E">
      <w:pPr>
        <w:pStyle w:val="Default"/>
        <w:jc w:val="both"/>
        <w:rPr>
          <w:sz w:val="22"/>
          <w:szCs w:val="22"/>
        </w:rPr>
      </w:pPr>
      <w:r>
        <w:rPr>
          <w:sz w:val="22"/>
          <w:szCs w:val="22"/>
        </w:rPr>
        <w:t>The thematic session of Cluster 2 (Policy and Environment) at the 2026 NECTAR conference</w:t>
      </w:r>
      <w:r w:rsidR="0014191E" w:rsidRPr="0014191E">
        <w:rPr>
          <w:sz w:val="22"/>
          <w:szCs w:val="22"/>
        </w:rPr>
        <w:t xml:space="preserve"> is focused on </w:t>
      </w:r>
      <w:r w:rsidR="00777EAE">
        <w:rPr>
          <w:sz w:val="22"/>
          <w:szCs w:val="22"/>
        </w:rPr>
        <w:t xml:space="preserve">cross-sectoral integration of the transport and health sectors, within the context of the transition towards sustainable transport. </w:t>
      </w:r>
      <w:r>
        <w:rPr>
          <w:sz w:val="22"/>
          <w:szCs w:val="22"/>
        </w:rPr>
        <w:t>We are interested in research on cross-sectoral integration in both directions: integration of health in mobility planning and integration of mobility in health planning.</w:t>
      </w:r>
    </w:p>
    <w:p w14:paraId="163261A4" w14:textId="77777777" w:rsidR="005A3892" w:rsidRDefault="005A3892" w:rsidP="0014191E">
      <w:pPr>
        <w:pStyle w:val="Default"/>
        <w:jc w:val="both"/>
        <w:rPr>
          <w:sz w:val="22"/>
          <w:szCs w:val="22"/>
        </w:rPr>
      </w:pPr>
    </w:p>
    <w:p w14:paraId="2A608378" w14:textId="77777777" w:rsidR="005A3892" w:rsidRDefault="005A3892" w:rsidP="005A3892">
      <w:pPr>
        <w:pStyle w:val="Default"/>
        <w:jc w:val="both"/>
        <w:rPr>
          <w:b/>
          <w:bCs/>
          <w:sz w:val="22"/>
          <w:szCs w:val="22"/>
        </w:rPr>
      </w:pPr>
      <w:r w:rsidRPr="005A3892">
        <w:rPr>
          <w:b/>
          <w:bCs/>
          <w:sz w:val="22"/>
          <w:szCs w:val="22"/>
        </w:rPr>
        <w:t>Health in mobility planning</w:t>
      </w:r>
    </w:p>
    <w:p w14:paraId="11D1D7CE" w14:textId="36B9EFDE" w:rsidR="00777EAE" w:rsidRDefault="005A3892" w:rsidP="005A3892">
      <w:pPr>
        <w:pStyle w:val="Default"/>
        <w:jc w:val="both"/>
        <w:rPr>
          <w:sz w:val="22"/>
          <w:szCs w:val="22"/>
        </w:rPr>
      </w:pPr>
      <w:r w:rsidRPr="005A3892">
        <w:rPr>
          <w:sz w:val="22"/>
          <w:szCs w:val="22"/>
        </w:rPr>
        <w:t xml:space="preserve">Transport can influence health </w:t>
      </w:r>
      <w:r w:rsidR="0090632F" w:rsidRPr="005A3892">
        <w:rPr>
          <w:sz w:val="22"/>
          <w:szCs w:val="22"/>
        </w:rPr>
        <w:t>negatively</w:t>
      </w:r>
      <w:r w:rsidR="0090632F">
        <w:rPr>
          <w:sz w:val="22"/>
          <w:szCs w:val="22"/>
        </w:rPr>
        <w:t xml:space="preserve"> (e.g., </w:t>
      </w:r>
      <w:r w:rsidRPr="005A3892">
        <w:rPr>
          <w:sz w:val="22"/>
          <w:szCs w:val="22"/>
        </w:rPr>
        <w:t>road traffic injuries, air and noise pollution</w:t>
      </w:r>
      <w:r w:rsidR="0090632F">
        <w:rPr>
          <w:sz w:val="22"/>
          <w:szCs w:val="22"/>
        </w:rPr>
        <w:t>) and</w:t>
      </w:r>
      <w:r w:rsidRPr="005A3892">
        <w:rPr>
          <w:sz w:val="22"/>
          <w:szCs w:val="22"/>
        </w:rPr>
        <w:t xml:space="preserve"> </w:t>
      </w:r>
      <w:r w:rsidR="0090632F" w:rsidRPr="005A3892">
        <w:rPr>
          <w:sz w:val="22"/>
          <w:szCs w:val="22"/>
        </w:rPr>
        <w:t xml:space="preserve">positively </w:t>
      </w:r>
      <w:r w:rsidR="0090632F">
        <w:rPr>
          <w:sz w:val="22"/>
          <w:szCs w:val="22"/>
        </w:rPr>
        <w:t xml:space="preserve">(e.g., active mobility, </w:t>
      </w:r>
      <w:r w:rsidRPr="005A3892">
        <w:rPr>
          <w:sz w:val="22"/>
          <w:szCs w:val="22"/>
        </w:rPr>
        <w:t>access to</w:t>
      </w:r>
      <w:r w:rsidR="00A20345">
        <w:rPr>
          <w:sz w:val="22"/>
          <w:szCs w:val="22"/>
        </w:rPr>
        <w:t xml:space="preserve"> healthcare, and</w:t>
      </w:r>
      <w:r w:rsidRPr="005A3892">
        <w:rPr>
          <w:sz w:val="22"/>
          <w:szCs w:val="22"/>
        </w:rPr>
        <w:t xml:space="preserve"> public and green space for various users</w:t>
      </w:r>
      <w:r w:rsidR="0090632F">
        <w:rPr>
          <w:sz w:val="22"/>
          <w:szCs w:val="22"/>
        </w:rPr>
        <w:t>)</w:t>
      </w:r>
      <w:r w:rsidRPr="005A3892">
        <w:rPr>
          <w:sz w:val="22"/>
          <w:szCs w:val="22"/>
        </w:rPr>
        <w:t xml:space="preserve">. The links between transport and health and wider co-benefits are recognised </w:t>
      </w:r>
      <w:r w:rsidR="00A20345">
        <w:rPr>
          <w:sz w:val="22"/>
          <w:szCs w:val="22"/>
        </w:rPr>
        <w:t xml:space="preserve">to some extent </w:t>
      </w:r>
      <w:r w:rsidRPr="005A3892">
        <w:rPr>
          <w:sz w:val="22"/>
          <w:szCs w:val="22"/>
        </w:rPr>
        <w:t>in transport policy</w:t>
      </w:r>
      <w:r>
        <w:rPr>
          <w:sz w:val="22"/>
          <w:szCs w:val="22"/>
        </w:rPr>
        <w:t xml:space="preserve">, but </w:t>
      </w:r>
      <w:r w:rsidR="00A20345">
        <w:rPr>
          <w:sz w:val="22"/>
          <w:szCs w:val="22"/>
        </w:rPr>
        <w:t>in most cases</w:t>
      </w:r>
      <w:r>
        <w:rPr>
          <w:sz w:val="22"/>
          <w:szCs w:val="22"/>
        </w:rPr>
        <w:t xml:space="preserve">, mobility is </w:t>
      </w:r>
      <w:r w:rsidR="00A20345">
        <w:rPr>
          <w:sz w:val="22"/>
          <w:szCs w:val="22"/>
        </w:rPr>
        <w:t>only considered</w:t>
      </w:r>
      <w:r>
        <w:rPr>
          <w:sz w:val="22"/>
          <w:szCs w:val="22"/>
        </w:rPr>
        <w:t xml:space="preserve"> as a driver for health </w:t>
      </w:r>
      <w:r w:rsidR="00A20345">
        <w:rPr>
          <w:sz w:val="22"/>
          <w:szCs w:val="22"/>
        </w:rPr>
        <w:t>improvement through the promotion of cycling and walking</w:t>
      </w:r>
      <w:r w:rsidR="0090632F">
        <w:rPr>
          <w:sz w:val="22"/>
          <w:szCs w:val="22"/>
        </w:rPr>
        <w:t xml:space="preserve">. </w:t>
      </w:r>
      <w:r w:rsidR="00A20345">
        <w:rPr>
          <w:sz w:val="22"/>
          <w:szCs w:val="22"/>
        </w:rPr>
        <w:t>H</w:t>
      </w:r>
      <w:r w:rsidR="0090632F" w:rsidRPr="005A3892">
        <w:rPr>
          <w:sz w:val="22"/>
          <w:szCs w:val="22"/>
        </w:rPr>
        <w:t xml:space="preserve">istorically, </w:t>
      </w:r>
      <w:r w:rsidR="0090632F">
        <w:rPr>
          <w:sz w:val="22"/>
          <w:szCs w:val="22"/>
        </w:rPr>
        <w:t>greenhouse gas</w:t>
      </w:r>
      <w:r w:rsidR="0090632F" w:rsidRPr="005A3892">
        <w:rPr>
          <w:sz w:val="22"/>
          <w:szCs w:val="22"/>
        </w:rPr>
        <w:t xml:space="preserve"> emissions reduction measures have not systemically considered physical and mental health impacts, or inequalities in their distribution. </w:t>
      </w:r>
      <w:r w:rsidR="0090632F">
        <w:rPr>
          <w:sz w:val="22"/>
          <w:szCs w:val="22"/>
        </w:rPr>
        <w:t>This is problematic, as a</w:t>
      </w:r>
      <w:r w:rsidRPr="005A3892">
        <w:rPr>
          <w:sz w:val="22"/>
          <w:szCs w:val="22"/>
        </w:rPr>
        <w:t xml:space="preserve">ccelerated transport decarbonisation is </w:t>
      </w:r>
      <w:r w:rsidR="0090632F">
        <w:rPr>
          <w:sz w:val="22"/>
          <w:szCs w:val="22"/>
        </w:rPr>
        <w:t xml:space="preserve">needed </w:t>
      </w:r>
      <w:r w:rsidRPr="005A3892">
        <w:rPr>
          <w:sz w:val="22"/>
          <w:szCs w:val="22"/>
        </w:rPr>
        <w:t xml:space="preserve">to </w:t>
      </w:r>
      <w:r w:rsidR="0090632F">
        <w:rPr>
          <w:sz w:val="22"/>
          <w:szCs w:val="22"/>
        </w:rPr>
        <w:t>achieve low-carbon and zero-carbon transport goals</w:t>
      </w:r>
      <w:r>
        <w:rPr>
          <w:sz w:val="22"/>
          <w:szCs w:val="22"/>
        </w:rPr>
        <w:t xml:space="preserve"> in the next decades</w:t>
      </w:r>
      <w:r w:rsidRPr="005A3892">
        <w:rPr>
          <w:sz w:val="22"/>
          <w:szCs w:val="22"/>
        </w:rPr>
        <w:t xml:space="preserve">. </w:t>
      </w:r>
      <w:r w:rsidR="00777EAE" w:rsidRPr="00777EAE">
        <w:rPr>
          <w:sz w:val="22"/>
          <w:szCs w:val="22"/>
        </w:rPr>
        <w:t xml:space="preserve">To develop a </w:t>
      </w:r>
      <w:r>
        <w:rPr>
          <w:sz w:val="22"/>
          <w:szCs w:val="22"/>
        </w:rPr>
        <w:t xml:space="preserve">low-carbon and more inclusive </w:t>
      </w:r>
      <w:r w:rsidR="00777EAE" w:rsidRPr="00777EAE">
        <w:rPr>
          <w:sz w:val="22"/>
          <w:szCs w:val="22"/>
        </w:rPr>
        <w:t xml:space="preserve">transport system, many governments </w:t>
      </w:r>
      <w:r>
        <w:rPr>
          <w:sz w:val="22"/>
          <w:szCs w:val="22"/>
        </w:rPr>
        <w:t xml:space="preserve">nowadays </w:t>
      </w:r>
      <w:r w:rsidR="00777EAE" w:rsidRPr="00777EAE">
        <w:rPr>
          <w:sz w:val="22"/>
          <w:szCs w:val="22"/>
        </w:rPr>
        <w:t>seek to implement ‘Shift’</w:t>
      </w:r>
      <w:r w:rsidR="00777EAE">
        <w:rPr>
          <w:sz w:val="22"/>
          <w:szCs w:val="22"/>
        </w:rPr>
        <w:t xml:space="preserve"> </w:t>
      </w:r>
      <w:r w:rsidR="00777EAE" w:rsidRPr="00777EAE">
        <w:rPr>
          <w:sz w:val="22"/>
          <w:szCs w:val="22"/>
        </w:rPr>
        <w:t>measures (</w:t>
      </w:r>
      <w:r>
        <w:rPr>
          <w:sz w:val="22"/>
          <w:szCs w:val="22"/>
        </w:rPr>
        <w:t xml:space="preserve">e.g., </w:t>
      </w:r>
      <w:r w:rsidR="00777EAE" w:rsidRPr="00777EAE">
        <w:rPr>
          <w:sz w:val="22"/>
          <w:szCs w:val="22"/>
        </w:rPr>
        <w:t>switching</w:t>
      </w:r>
      <w:r>
        <w:rPr>
          <w:sz w:val="22"/>
          <w:szCs w:val="22"/>
        </w:rPr>
        <w:t xml:space="preserve"> to walking, cycling and public transport</w:t>
      </w:r>
      <w:r w:rsidR="00777EAE" w:rsidRPr="00777EAE">
        <w:rPr>
          <w:sz w:val="22"/>
          <w:szCs w:val="22"/>
        </w:rPr>
        <w:t>)</w:t>
      </w:r>
      <w:r>
        <w:rPr>
          <w:sz w:val="22"/>
          <w:szCs w:val="22"/>
        </w:rPr>
        <w:t xml:space="preserve">, </w:t>
      </w:r>
      <w:r w:rsidR="00777EAE" w:rsidRPr="00777EAE">
        <w:rPr>
          <w:sz w:val="22"/>
          <w:szCs w:val="22"/>
        </w:rPr>
        <w:t>‘Improve’ measures (e.g., introduction of electric vehicles)</w:t>
      </w:r>
      <w:r w:rsidR="00777EAE">
        <w:rPr>
          <w:sz w:val="22"/>
          <w:szCs w:val="22"/>
        </w:rPr>
        <w:t xml:space="preserve">, </w:t>
      </w:r>
      <w:r>
        <w:rPr>
          <w:sz w:val="22"/>
          <w:szCs w:val="22"/>
        </w:rPr>
        <w:t xml:space="preserve">and to a lesser degree, </w:t>
      </w:r>
      <w:r w:rsidR="00777EAE" w:rsidRPr="00777EAE">
        <w:rPr>
          <w:sz w:val="22"/>
          <w:szCs w:val="22"/>
        </w:rPr>
        <w:t xml:space="preserve">to ‘Avoid’ measures </w:t>
      </w:r>
      <w:r>
        <w:rPr>
          <w:sz w:val="22"/>
          <w:szCs w:val="22"/>
        </w:rPr>
        <w:t xml:space="preserve">(reducing </w:t>
      </w:r>
      <w:r w:rsidR="00777EAE" w:rsidRPr="00777EAE">
        <w:rPr>
          <w:sz w:val="22"/>
          <w:szCs w:val="22"/>
        </w:rPr>
        <w:t>to reduce total travel</w:t>
      </w:r>
      <w:r>
        <w:rPr>
          <w:sz w:val="22"/>
          <w:szCs w:val="22"/>
        </w:rPr>
        <w:t xml:space="preserve"> or </w:t>
      </w:r>
      <w:r w:rsidR="00777EAE" w:rsidRPr="00777EAE">
        <w:rPr>
          <w:sz w:val="22"/>
          <w:szCs w:val="22"/>
        </w:rPr>
        <w:t xml:space="preserve">trip lengths through </w:t>
      </w:r>
      <w:r>
        <w:rPr>
          <w:sz w:val="22"/>
          <w:szCs w:val="22"/>
        </w:rPr>
        <w:t xml:space="preserve">proximity-based planning </w:t>
      </w:r>
      <w:r w:rsidR="00777EAE" w:rsidRPr="00777EAE">
        <w:rPr>
          <w:sz w:val="22"/>
          <w:szCs w:val="22"/>
        </w:rPr>
        <w:t>substituting physical travel to digital communication</w:t>
      </w:r>
      <w:r>
        <w:rPr>
          <w:sz w:val="22"/>
          <w:szCs w:val="22"/>
        </w:rPr>
        <w:t>)</w:t>
      </w:r>
      <w:r w:rsidR="00777EAE" w:rsidRPr="00777EAE">
        <w:rPr>
          <w:sz w:val="22"/>
          <w:szCs w:val="22"/>
        </w:rPr>
        <w:t xml:space="preserve">. </w:t>
      </w:r>
      <w:bookmarkStart w:id="0" w:name="_Hlk187051824"/>
      <w:r w:rsidR="00777EAE" w:rsidRPr="00777EAE">
        <w:rPr>
          <w:sz w:val="22"/>
          <w:szCs w:val="22"/>
        </w:rPr>
        <w:t xml:space="preserve">The potential health benefits of </w:t>
      </w:r>
      <w:r>
        <w:rPr>
          <w:sz w:val="22"/>
          <w:szCs w:val="22"/>
        </w:rPr>
        <w:t>‘S</w:t>
      </w:r>
      <w:r w:rsidR="00777EAE">
        <w:rPr>
          <w:sz w:val="22"/>
          <w:szCs w:val="22"/>
        </w:rPr>
        <w:t>hift</w:t>
      </w:r>
      <w:r>
        <w:rPr>
          <w:sz w:val="22"/>
          <w:szCs w:val="22"/>
        </w:rPr>
        <w:t>’ measures</w:t>
      </w:r>
      <w:r w:rsidR="00F9354B">
        <w:rPr>
          <w:sz w:val="22"/>
          <w:szCs w:val="22"/>
        </w:rPr>
        <w:t>,</w:t>
      </w:r>
      <w:r>
        <w:rPr>
          <w:sz w:val="22"/>
          <w:szCs w:val="22"/>
        </w:rPr>
        <w:t xml:space="preserve"> including promotion of</w:t>
      </w:r>
      <w:r w:rsidR="00777EAE" w:rsidRPr="00777EAE">
        <w:rPr>
          <w:sz w:val="22"/>
          <w:szCs w:val="22"/>
        </w:rPr>
        <w:t xml:space="preserve"> </w:t>
      </w:r>
      <w:bookmarkEnd w:id="0"/>
      <w:r w:rsidR="00777EAE">
        <w:rPr>
          <w:sz w:val="22"/>
          <w:szCs w:val="22"/>
        </w:rPr>
        <w:t xml:space="preserve">walking and cycling, </w:t>
      </w:r>
      <w:r w:rsidR="00777EAE" w:rsidRPr="00777EAE">
        <w:rPr>
          <w:sz w:val="22"/>
          <w:szCs w:val="22"/>
        </w:rPr>
        <w:t>such as increased physical activity and cleaner air, are well documented</w:t>
      </w:r>
      <w:r>
        <w:rPr>
          <w:sz w:val="22"/>
          <w:szCs w:val="22"/>
        </w:rPr>
        <w:t>, but the health impacts of ‘</w:t>
      </w:r>
      <w:r w:rsidR="0090632F">
        <w:rPr>
          <w:sz w:val="22"/>
          <w:szCs w:val="22"/>
        </w:rPr>
        <w:t>A</w:t>
      </w:r>
      <w:r>
        <w:rPr>
          <w:sz w:val="22"/>
          <w:szCs w:val="22"/>
        </w:rPr>
        <w:t>void’ and ‘</w:t>
      </w:r>
      <w:r w:rsidR="0090632F">
        <w:rPr>
          <w:sz w:val="22"/>
          <w:szCs w:val="22"/>
        </w:rPr>
        <w:t>I</w:t>
      </w:r>
      <w:r>
        <w:rPr>
          <w:sz w:val="22"/>
          <w:szCs w:val="22"/>
        </w:rPr>
        <w:t xml:space="preserve">mprove’ strategies are </w:t>
      </w:r>
      <w:r w:rsidR="006D7EAC">
        <w:rPr>
          <w:sz w:val="22"/>
          <w:szCs w:val="22"/>
        </w:rPr>
        <w:t>less</w:t>
      </w:r>
      <w:r>
        <w:rPr>
          <w:sz w:val="22"/>
          <w:szCs w:val="22"/>
        </w:rPr>
        <w:t xml:space="preserve"> well understood</w:t>
      </w:r>
      <w:r w:rsidR="00777EAE" w:rsidRPr="00777EAE">
        <w:rPr>
          <w:sz w:val="22"/>
          <w:szCs w:val="22"/>
        </w:rPr>
        <w:t>.</w:t>
      </w:r>
      <w:r>
        <w:rPr>
          <w:sz w:val="22"/>
          <w:szCs w:val="22"/>
        </w:rPr>
        <w:t xml:space="preserve"> F</w:t>
      </w:r>
      <w:r w:rsidRPr="005A3892">
        <w:rPr>
          <w:sz w:val="22"/>
          <w:szCs w:val="22"/>
        </w:rPr>
        <w:t xml:space="preserve">or example, increased particulate emissions from tyres and brakes from increased weight and acceleration/deceleration of electric cars potentially lead to more severe respiratory disease and </w:t>
      </w:r>
      <w:r w:rsidR="00AC746A">
        <w:rPr>
          <w:sz w:val="22"/>
          <w:szCs w:val="22"/>
        </w:rPr>
        <w:t xml:space="preserve">a </w:t>
      </w:r>
      <w:r w:rsidRPr="005A3892">
        <w:rPr>
          <w:sz w:val="22"/>
          <w:szCs w:val="22"/>
        </w:rPr>
        <w:t>greater likelihood and more severe consequences of collisions with vulnerable road users.</w:t>
      </w:r>
    </w:p>
    <w:p w14:paraId="79209E08" w14:textId="77777777" w:rsidR="00777EAE" w:rsidRDefault="00777EAE" w:rsidP="0014191E">
      <w:pPr>
        <w:pStyle w:val="Default"/>
        <w:jc w:val="both"/>
        <w:rPr>
          <w:sz w:val="22"/>
          <w:szCs w:val="22"/>
        </w:rPr>
      </w:pPr>
    </w:p>
    <w:p w14:paraId="4B9C3FC1" w14:textId="716084A4" w:rsidR="00777EAE" w:rsidRPr="005A3892" w:rsidRDefault="005A3892" w:rsidP="0014191E">
      <w:pPr>
        <w:pStyle w:val="Default"/>
        <w:jc w:val="both"/>
        <w:rPr>
          <w:b/>
          <w:bCs/>
          <w:sz w:val="22"/>
          <w:szCs w:val="22"/>
        </w:rPr>
      </w:pPr>
      <w:r w:rsidRPr="005A3892">
        <w:rPr>
          <w:b/>
          <w:bCs/>
          <w:sz w:val="22"/>
          <w:szCs w:val="22"/>
        </w:rPr>
        <w:t>Mobility in health planning</w:t>
      </w:r>
    </w:p>
    <w:p w14:paraId="24F47BEF" w14:textId="1633F2B0" w:rsidR="005A3892" w:rsidRDefault="005A3892" w:rsidP="005A3892">
      <w:pPr>
        <w:pStyle w:val="Default"/>
        <w:jc w:val="both"/>
        <w:rPr>
          <w:sz w:val="22"/>
          <w:szCs w:val="22"/>
        </w:rPr>
      </w:pPr>
      <w:r>
        <w:rPr>
          <w:sz w:val="22"/>
          <w:szCs w:val="22"/>
        </w:rPr>
        <w:t>The health sector is an important mobility-generating sector</w:t>
      </w:r>
      <w:r w:rsidRPr="005A3892">
        <w:rPr>
          <w:sz w:val="22"/>
          <w:szCs w:val="22"/>
        </w:rPr>
        <w:t>, with patients, visitors and healthcare staff travelling to and from healthcare facilities</w:t>
      </w:r>
      <w:r>
        <w:rPr>
          <w:sz w:val="22"/>
          <w:szCs w:val="22"/>
        </w:rPr>
        <w:t xml:space="preserve"> and patient homes.</w:t>
      </w:r>
      <w:r w:rsidRPr="005A3892">
        <w:rPr>
          <w:sz w:val="22"/>
          <w:szCs w:val="22"/>
        </w:rPr>
        <w:t xml:space="preserve"> </w:t>
      </w:r>
      <w:r w:rsidR="0090632F">
        <w:rPr>
          <w:sz w:val="22"/>
          <w:szCs w:val="22"/>
        </w:rPr>
        <w:t xml:space="preserve">Reducing the demand for healthcare travel </w:t>
      </w:r>
      <w:r w:rsidRPr="005A3892">
        <w:rPr>
          <w:sz w:val="22"/>
          <w:szCs w:val="22"/>
        </w:rPr>
        <w:t xml:space="preserve">is </w:t>
      </w:r>
      <w:r w:rsidR="00AC746A">
        <w:rPr>
          <w:sz w:val="22"/>
          <w:szCs w:val="22"/>
        </w:rPr>
        <w:t xml:space="preserve">typically </w:t>
      </w:r>
      <w:r>
        <w:rPr>
          <w:sz w:val="22"/>
          <w:szCs w:val="22"/>
        </w:rPr>
        <w:t>seen to be</w:t>
      </w:r>
      <w:r w:rsidRPr="005A3892">
        <w:rPr>
          <w:sz w:val="22"/>
          <w:szCs w:val="22"/>
        </w:rPr>
        <w:t xml:space="preserve"> outside the control of the transport sector and is </w:t>
      </w:r>
      <w:r w:rsidR="0090632F">
        <w:rPr>
          <w:sz w:val="22"/>
          <w:szCs w:val="22"/>
        </w:rPr>
        <w:t xml:space="preserve">also </w:t>
      </w:r>
      <w:r w:rsidRPr="005A3892">
        <w:rPr>
          <w:sz w:val="22"/>
          <w:szCs w:val="22"/>
        </w:rPr>
        <w:t xml:space="preserve">not </w:t>
      </w:r>
      <w:r w:rsidR="00A20345">
        <w:rPr>
          <w:sz w:val="22"/>
          <w:szCs w:val="22"/>
        </w:rPr>
        <w:t xml:space="preserve">generally </w:t>
      </w:r>
      <w:proofErr w:type="gramStart"/>
      <w:r w:rsidR="0090632F">
        <w:rPr>
          <w:sz w:val="22"/>
          <w:szCs w:val="22"/>
        </w:rPr>
        <w:t>taken into account</w:t>
      </w:r>
      <w:proofErr w:type="gramEnd"/>
      <w:r w:rsidR="0090632F">
        <w:rPr>
          <w:sz w:val="22"/>
          <w:szCs w:val="22"/>
        </w:rPr>
        <w:t xml:space="preserve"> in healthcare</w:t>
      </w:r>
      <w:r w:rsidRPr="005A3892">
        <w:rPr>
          <w:sz w:val="22"/>
          <w:szCs w:val="22"/>
        </w:rPr>
        <w:t xml:space="preserve"> business strategies and investment decisions.</w:t>
      </w:r>
      <w:r>
        <w:rPr>
          <w:sz w:val="22"/>
          <w:szCs w:val="22"/>
        </w:rPr>
        <w:t xml:space="preserve"> </w:t>
      </w:r>
      <w:r w:rsidR="0090632F">
        <w:rPr>
          <w:sz w:val="22"/>
          <w:szCs w:val="22"/>
        </w:rPr>
        <w:t xml:space="preserve">The </w:t>
      </w:r>
      <w:r w:rsidRPr="005A3892">
        <w:rPr>
          <w:sz w:val="22"/>
          <w:szCs w:val="22"/>
        </w:rPr>
        <w:t xml:space="preserve">potential to </w:t>
      </w:r>
      <w:r w:rsidR="0090632F">
        <w:rPr>
          <w:sz w:val="22"/>
          <w:szCs w:val="22"/>
        </w:rPr>
        <w:t>A</w:t>
      </w:r>
      <w:r w:rsidRPr="005A3892">
        <w:rPr>
          <w:sz w:val="22"/>
          <w:szCs w:val="22"/>
        </w:rPr>
        <w:t xml:space="preserve">void, </w:t>
      </w:r>
      <w:r w:rsidR="0090632F">
        <w:rPr>
          <w:sz w:val="22"/>
          <w:szCs w:val="22"/>
        </w:rPr>
        <w:t>S</w:t>
      </w:r>
      <w:r w:rsidRPr="005A3892">
        <w:rPr>
          <w:sz w:val="22"/>
          <w:szCs w:val="22"/>
        </w:rPr>
        <w:t>hift</w:t>
      </w:r>
      <w:r>
        <w:rPr>
          <w:sz w:val="22"/>
          <w:szCs w:val="22"/>
        </w:rPr>
        <w:t>,</w:t>
      </w:r>
      <w:r w:rsidRPr="005A3892">
        <w:rPr>
          <w:sz w:val="22"/>
          <w:szCs w:val="22"/>
        </w:rPr>
        <w:t xml:space="preserve"> and </w:t>
      </w:r>
      <w:r w:rsidR="0090632F">
        <w:rPr>
          <w:sz w:val="22"/>
          <w:szCs w:val="22"/>
        </w:rPr>
        <w:t>I</w:t>
      </w:r>
      <w:r w:rsidRPr="005A3892">
        <w:rPr>
          <w:sz w:val="22"/>
          <w:szCs w:val="22"/>
        </w:rPr>
        <w:t xml:space="preserve">mprove </w:t>
      </w:r>
      <w:r w:rsidR="0090632F">
        <w:rPr>
          <w:sz w:val="22"/>
          <w:szCs w:val="22"/>
        </w:rPr>
        <w:t xml:space="preserve">healthcare-related </w:t>
      </w:r>
      <w:r w:rsidRPr="005A3892">
        <w:rPr>
          <w:sz w:val="22"/>
          <w:szCs w:val="22"/>
        </w:rPr>
        <w:t xml:space="preserve">mobility is not </w:t>
      </w:r>
      <w:r w:rsidR="0090632F">
        <w:rPr>
          <w:sz w:val="22"/>
          <w:szCs w:val="22"/>
        </w:rPr>
        <w:t xml:space="preserve">well understood. </w:t>
      </w:r>
      <w:r w:rsidRPr="005A3892">
        <w:rPr>
          <w:sz w:val="22"/>
          <w:szCs w:val="22"/>
        </w:rPr>
        <w:t>At the same time, there are opportunities to better integrate mobil</w:t>
      </w:r>
      <w:r>
        <w:rPr>
          <w:sz w:val="22"/>
          <w:szCs w:val="22"/>
        </w:rPr>
        <w:t>i</w:t>
      </w:r>
      <w:r w:rsidRPr="005A3892">
        <w:rPr>
          <w:sz w:val="22"/>
          <w:szCs w:val="22"/>
        </w:rPr>
        <w:t>ty in health planning</w:t>
      </w:r>
      <w:r>
        <w:rPr>
          <w:sz w:val="22"/>
          <w:szCs w:val="22"/>
        </w:rPr>
        <w:t xml:space="preserve">, making mobility more </w:t>
      </w:r>
      <w:r>
        <w:rPr>
          <w:sz w:val="22"/>
          <w:szCs w:val="22"/>
        </w:rPr>
        <w:lastRenderedPageBreak/>
        <w:t xml:space="preserve">sustainable, and potentially </w:t>
      </w:r>
      <w:r w:rsidRPr="005A3892">
        <w:rPr>
          <w:sz w:val="22"/>
          <w:szCs w:val="22"/>
        </w:rPr>
        <w:t>reduc</w:t>
      </w:r>
      <w:r>
        <w:rPr>
          <w:sz w:val="22"/>
          <w:szCs w:val="22"/>
        </w:rPr>
        <w:t>ing</w:t>
      </w:r>
      <w:r w:rsidRPr="005A3892">
        <w:rPr>
          <w:sz w:val="22"/>
          <w:szCs w:val="22"/>
        </w:rPr>
        <w:t xml:space="preserve"> healthcare costs and</w:t>
      </w:r>
      <w:r>
        <w:rPr>
          <w:sz w:val="22"/>
          <w:szCs w:val="22"/>
        </w:rPr>
        <w:t xml:space="preserve"> </w:t>
      </w:r>
      <w:r w:rsidRPr="005A3892">
        <w:rPr>
          <w:sz w:val="22"/>
          <w:szCs w:val="22"/>
        </w:rPr>
        <w:t>improv</w:t>
      </w:r>
      <w:r>
        <w:rPr>
          <w:sz w:val="22"/>
          <w:szCs w:val="22"/>
        </w:rPr>
        <w:t>ing</w:t>
      </w:r>
      <w:r w:rsidRPr="005A3892">
        <w:rPr>
          <w:sz w:val="22"/>
          <w:szCs w:val="22"/>
        </w:rPr>
        <w:t xml:space="preserve"> the quality of healthcare</w:t>
      </w:r>
      <w:r w:rsidR="00A20345">
        <w:rPr>
          <w:sz w:val="22"/>
          <w:szCs w:val="22"/>
        </w:rPr>
        <w:t xml:space="preserve"> provision</w:t>
      </w:r>
      <w:r w:rsidRPr="005A3892">
        <w:rPr>
          <w:sz w:val="22"/>
          <w:szCs w:val="22"/>
        </w:rPr>
        <w:t xml:space="preserve">. </w:t>
      </w:r>
      <w:r w:rsidR="000E79A5">
        <w:rPr>
          <w:sz w:val="22"/>
          <w:szCs w:val="22"/>
        </w:rPr>
        <w:t xml:space="preserve">Moreover, with </w:t>
      </w:r>
      <w:r w:rsidR="00066D81">
        <w:rPr>
          <w:sz w:val="22"/>
          <w:szCs w:val="22"/>
        </w:rPr>
        <w:t xml:space="preserve">an </w:t>
      </w:r>
      <w:r w:rsidR="000E79A5">
        <w:rPr>
          <w:sz w:val="22"/>
          <w:szCs w:val="22"/>
        </w:rPr>
        <w:t xml:space="preserve">ageing population and increasing health costs, societies face an </w:t>
      </w:r>
      <w:r w:rsidR="000E79A5" w:rsidRPr="000E79A5">
        <w:rPr>
          <w:sz w:val="22"/>
          <w:szCs w:val="22"/>
        </w:rPr>
        <w:t>uncertain health access frontie</w:t>
      </w:r>
      <w:r w:rsidR="00066D81">
        <w:rPr>
          <w:sz w:val="22"/>
          <w:szCs w:val="22"/>
        </w:rPr>
        <w:t xml:space="preserve">r. </w:t>
      </w:r>
      <w:r w:rsidRPr="005A3892">
        <w:rPr>
          <w:sz w:val="22"/>
          <w:szCs w:val="22"/>
        </w:rPr>
        <w:t xml:space="preserve">Increasing the uptake of digital healthcare is often seen as an important strategy to </w:t>
      </w:r>
      <w:r w:rsidR="00066D81">
        <w:rPr>
          <w:sz w:val="22"/>
          <w:szCs w:val="22"/>
        </w:rPr>
        <w:t xml:space="preserve">increase healthcare access and </w:t>
      </w:r>
      <w:r w:rsidRPr="005A3892">
        <w:rPr>
          <w:sz w:val="22"/>
          <w:szCs w:val="22"/>
        </w:rPr>
        <w:t>reduce growing healthcare costs</w:t>
      </w:r>
      <w:r w:rsidR="00066D81">
        <w:rPr>
          <w:sz w:val="22"/>
          <w:szCs w:val="22"/>
        </w:rPr>
        <w:t xml:space="preserve">. </w:t>
      </w:r>
      <w:r w:rsidRPr="005A3892">
        <w:rPr>
          <w:sz w:val="22"/>
          <w:szCs w:val="22"/>
        </w:rPr>
        <w:t xml:space="preserve">In the healthcare sector, the COVID pandemic was a catalyst to develop and implement </w:t>
      </w:r>
      <w:r w:rsidR="0090632F">
        <w:rPr>
          <w:sz w:val="22"/>
          <w:szCs w:val="22"/>
        </w:rPr>
        <w:t xml:space="preserve">several </w:t>
      </w:r>
      <w:r w:rsidRPr="005A3892">
        <w:rPr>
          <w:sz w:val="22"/>
          <w:szCs w:val="22"/>
        </w:rPr>
        <w:t>e</w:t>
      </w:r>
      <w:r w:rsidR="0090632F">
        <w:rPr>
          <w:sz w:val="22"/>
          <w:szCs w:val="22"/>
        </w:rPr>
        <w:t>-</w:t>
      </w:r>
      <w:r w:rsidRPr="005A3892">
        <w:rPr>
          <w:sz w:val="22"/>
          <w:szCs w:val="22"/>
        </w:rPr>
        <w:t>health solutions</w:t>
      </w:r>
      <w:r w:rsidR="0090632F">
        <w:rPr>
          <w:sz w:val="22"/>
          <w:szCs w:val="22"/>
        </w:rPr>
        <w:t xml:space="preserve">, such as online meetings with doctors and telemonitoring of patients, reducing the need to travel. </w:t>
      </w:r>
      <w:r w:rsidRPr="005A3892">
        <w:rPr>
          <w:sz w:val="22"/>
          <w:szCs w:val="22"/>
        </w:rPr>
        <w:t>Also, a more local healthcare delivery can reduce trip distances, e.g.</w:t>
      </w:r>
      <w:r>
        <w:rPr>
          <w:sz w:val="22"/>
          <w:szCs w:val="22"/>
        </w:rPr>
        <w:t>,</w:t>
      </w:r>
      <w:r w:rsidRPr="005A3892">
        <w:rPr>
          <w:sz w:val="22"/>
          <w:szCs w:val="22"/>
        </w:rPr>
        <w:t xml:space="preserve"> delivering healthcare more locally using neighbourhood health hubs.</w:t>
      </w:r>
      <w:r>
        <w:rPr>
          <w:sz w:val="22"/>
          <w:szCs w:val="22"/>
        </w:rPr>
        <w:t xml:space="preserve"> </w:t>
      </w:r>
      <w:r w:rsidRPr="005A3892">
        <w:rPr>
          <w:sz w:val="22"/>
          <w:szCs w:val="22"/>
        </w:rPr>
        <w:t>There are, however, many barriers related to the complex and fragmented organisation of the healthcare sector</w:t>
      </w:r>
      <w:r w:rsidR="0090632F">
        <w:rPr>
          <w:sz w:val="22"/>
          <w:szCs w:val="22"/>
        </w:rPr>
        <w:t>, and the needs and capabilities of patients and healthcare professionals</w:t>
      </w:r>
      <w:r w:rsidRPr="005A3892">
        <w:rPr>
          <w:sz w:val="22"/>
          <w:szCs w:val="22"/>
        </w:rPr>
        <w:t xml:space="preserve">. </w:t>
      </w:r>
      <w:r>
        <w:rPr>
          <w:sz w:val="22"/>
          <w:szCs w:val="22"/>
        </w:rPr>
        <w:t>There is a need to develop i</w:t>
      </w:r>
      <w:r w:rsidRPr="005A3892">
        <w:rPr>
          <w:sz w:val="22"/>
          <w:szCs w:val="22"/>
        </w:rPr>
        <w:t>nter- and transdisciplinary collaborations</w:t>
      </w:r>
      <w:r>
        <w:rPr>
          <w:sz w:val="22"/>
          <w:szCs w:val="22"/>
        </w:rPr>
        <w:t xml:space="preserve"> and</w:t>
      </w:r>
      <w:r w:rsidRPr="005A3892">
        <w:rPr>
          <w:sz w:val="22"/>
          <w:szCs w:val="22"/>
        </w:rPr>
        <w:t xml:space="preserve"> </w:t>
      </w:r>
      <w:r>
        <w:rPr>
          <w:sz w:val="22"/>
          <w:szCs w:val="22"/>
        </w:rPr>
        <w:t xml:space="preserve">explore </w:t>
      </w:r>
      <w:r w:rsidRPr="005A3892">
        <w:rPr>
          <w:sz w:val="22"/>
          <w:szCs w:val="22"/>
        </w:rPr>
        <w:t xml:space="preserve">adaptive strategies integrating </w:t>
      </w:r>
      <w:r>
        <w:rPr>
          <w:sz w:val="22"/>
          <w:szCs w:val="22"/>
        </w:rPr>
        <w:t>mobility</w:t>
      </w:r>
      <w:r w:rsidRPr="005A3892">
        <w:rPr>
          <w:sz w:val="22"/>
          <w:szCs w:val="22"/>
        </w:rPr>
        <w:t xml:space="preserve"> in healthcare processes and business cases.</w:t>
      </w:r>
    </w:p>
    <w:p w14:paraId="4D840061" w14:textId="77777777" w:rsidR="005A3892" w:rsidRDefault="005A3892" w:rsidP="005A3892">
      <w:pPr>
        <w:pStyle w:val="Default"/>
        <w:jc w:val="both"/>
        <w:rPr>
          <w:sz w:val="22"/>
          <w:szCs w:val="22"/>
        </w:rPr>
      </w:pPr>
    </w:p>
    <w:p w14:paraId="0ECF6D8C" w14:textId="7B65ED8C" w:rsidR="005A3892" w:rsidRDefault="005A3892" w:rsidP="005A3892">
      <w:pPr>
        <w:pStyle w:val="Default"/>
        <w:jc w:val="both"/>
        <w:rPr>
          <w:sz w:val="22"/>
          <w:szCs w:val="22"/>
        </w:rPr>
      </w:pPr>
      <w:r>
        <w:rPr>
          <w:sz w:val="22"/>
          <w:szCs w:val="22"/>
        </w:rPr>
        <w:t>T</w:t>
      </w:r>
      <w:r w:rsidRPr="0014191E">
        <w:rPr>
          <w:sz w:val="22"/>
          <w:szCs w:val="22"/>
        </w:rPr>
        <w:t>opics of interest include, but are not limited to</w:t>
      </w:r>
      <w:r w:rsidR="0090632F">
        <w:rPr>
          <w:sz w:val="22"/>
          <w:szCs w:val="22"/>
        </w:rPr>
        <w:t>:</w:t>
      </w:r>
    </w:p>
    <w:p w14:paraId="4700D499" w14:textId="7C2D446A" w:rsidR="0090632F" w:rsidRDefault="00777EAE" w:rsidP="0090632F">
      <w:pPr>
        <w:pStyle w:val="Default"/>
        <w:numPr>
          <w:ilvl w:val="0"/>
          <w:numId w:val="3"/>
        </w:numPr>
        <w:jc w:val="both"/>
        <w:rPr>
          <w:sz w:val="22"/>
          <w:szCs w:val="22"/>
        </w:rPr>
      </w:pPr>
      <w:r w:rsidRPr="005A3892">
        <w:rPr>
          <w:sz w:val="22"/>
          <w:szCs w:val="22"/>
        </w:rPr>
        <w:t xml:space="preserve">barriers, incentives and accelerants to </w:t>
      </w:r>
      <w:r w:rsidR="005A3892" w:rsidRPr="005A3892">
        <w:rPr>
          <w:sz w:val="22"/>
          <w:szCs w:val="22"/>
        </w:rPr>
        <w:t>improve the</w:t>
      </w:r>
      <w:r w:rsidRPr="005A3892">
        <w:rPr>
          <w:sz w:val="22"/>
          <w:szCs w:val="22"/>
        </w:rPr>
        <w:t xml:space="preserve"> </w:t>
      </w:r>
      <w:r w:rsidR="005A3892" w:rsidRPr="005A3892">
        <w:rPr>
          <w:sz w:val="22"/>
          <w:szCs w:val="22"/>
        </w:rPr>
        <w:t>integration of health in mobility planning and mobility in health planning</w:t>
      </w:r>
      <w:r w:rsidR="0090632F" w:rsidRPr="0090632F">
        <w:rPr>
          <w:sz w:val="22"/>
          <w:szCs w:val="22"/>
        </w:rPr>
        <w:t xml:space="preserve"> </w:t>
      </w:r>
    </w:p>
    <w:p w14:paraId="685EC2BD" w14:textId="3AE5E1DA" w:rsidR="00066D81" w:rsidRPr="00066D81" w:rsidRDefault="00066D81" w:rsidP="00066D81">
      <w:pPr>
        <w:pStyle w:val="Default"/>
        <w:numPr>
          <w:ilvl w:val="0"/>
          <w:numId w:val="3"/>
        </w:numPr>
        <w:jc w:val="both"/>
        <w:rPr>
          <w:sz w:val="22"/>
          <w:szCs w:val="22"/>
        </w:rPr>
      </w:pPr>
      <w:r>
        <w:rPr>
          <w:sz w:val="22"/>
          <w:szCs w:val="22"/>
        </w:rPr>
        <w:t>h</w:t>
      </w:r>
      <w:r w:rsidRPr="00066D81">
        <w:rPr>
          <w:sz w:val="22"/>
          <w:szCs w:val="22"/>
        </w:rPr>
        <w:t>ealth impacts of transportation on vulnerable groups, including children and older adults</w:t>
      </w:r>
    </w:p>
    <w:p w14:paraId="7AC945B0" w14:textId="343BEF79" w:rsidR="00066D81" w:rsidRDefault="00066D81" w:rsidP="00066D81">
      <w:pPr>
        <w:pStyle w:val="Default"/>
        <w:numPr>
          <w:ilvl w:val="0"/>
          <w:numId w:val="3"/>
        </w:numPr>
        <w:jc w:val="both"/>
        <w:rPr>
          <w:sz w:val="22"/>
          <w:szCs w:val="22"/>
        </w:rPr>
      </w:pPr>
      <w:r>
        <w:rPr>
          <w:sz w:val="22"/>
          <w:szCs w:val="22"/>
        </w:rPr>
        <w:t>health impacts of transport</w:t>
      </w:r>
      <w:r w:rsidRPr="00066D81">
        <w:rPr>
          <w:sz w:val="22"/>
          <w:szCs w:val="22"/>
        </w:rPr>
        <w:t xml:space="preserve"> </w:t>
      </w:r>
      <w:r>
        <w:rPr>
          <w:sz w:val="22"/>
          <w:szCs w:val="22"/>
        </w:rPr>
        <w:t>policies, including a</w:t>
      </w:r>
      <w:r w:rsidRPr="00066D81">
        <w:rPr>
          <w:sz w:val="22"/>
          <w:szCs w:val="22"/>
        </w:rPr>
        <w:t>ccessible public spaces, active mobility infrastructure</w:t>
      </w:r>
      <w:r>
        <w:rPr>
          <w:sz w:val="22"/>
          <w:szCs w:val="22"/>
        </w:rPr>
        <w:t>, e</w:t>
      </w:r>
      <w:r w:rsidRPr="00066D81">
        <w:rPr>
          <w:sz w:val="22"/>
          <w:szCs w:val="22"/>
        </w:rPr>
        <w:t xml:space="preserve">ducational and outreach strategies for behavior change </w:t>
      </w:r>
    </w:p>
    <w:p w14:paraId="234CCCFB" w14:textId="76FC8100" w:rsidR="00066D81" w:rsidRPr="00066D81" w:rsidRDefault="00066D81" w:rsidP="00066D81">
      <w:pPr>
        <w:pStyle w:val="Default"/>
        <w:numPr>
          <w:ilvl w:val="0"/>
          <w:numId w:val="3"/>
        </w:numPr>
        <w:jc w:val="both"/>
        <w:rPr>
          <w:sz w:val="22"/>
          <w:szCs w:val="22"/>
        </w:rPr>
      </w:pPr>
      <w:r>
        <w:rPr>
          <w:sz w:val="22"/>
          <w:szCs w:val="22"/>
        </w:rPr>
        <w:t xml:space="preserve">health impacts of low-carbon transport measures, including mental health, for different population groups, and </w:t>
      </w:r>
      <w:r w:rsidRPr="00066D81">
        <w:rPr>
          <w:sz w:val="22"/>
          <w:szCs w:val="22"/>
        </w:rPr>
        <w:t>health impacts of climate adaptation strategies</w:t>
      </w:r>
    </w:p>
    <w:p w14:paraId="050A084F" w14:textId="5B325035" w:rsidR="00066D81" w:rsidRPr="00066D81" w:rsidRDefault="00066D81" w:rsidP="00066D81">
      <w:pPr>
        <w:pStyle w:val="Default"/>
        <w:numPr>
          <w:ilvl w:val="0"/>
          <w:numId w:val="3"/>
        </w:numPr>
        <w:jc w:val="both"/>
        <w:rPr>
          <w:sz w:val="22"/>
          <w:szCs w:val="22"/>
        </w:rPr>
      </w:pPr>
      <w:r>
        <w:rPr>
          <w:sz w:val="22"/>
          <w:szCs w:val="22"/>
        </w:rPr>
        <w:t>t</w:t>
      </w:r>
      <w:r w:rsidRPr="00066D81">
        <w:rPr>
          <w:sz w:val="22"/>
          <w:szCs w:val="22"/>
        </w:rPr>
        <w:t>he role of technology (e.g., mobile apps) in promoting healthy mobility choices</w:t>
      </w:r>
    </w:p>
    <w:p w14:paraId="40DAEDDE" w14:textId="43D30B48" w:rsidR="0090632F" w:rsidRDefault="0090632F" w:rsidP="0090632F">
      <w:pPr>
        <w:pStyle w:val="Default"/>
        <w:numPr>
          <w:ilvl w:val="0"/>
          <w:numId w:val="3"/>
        </w:numPr>
        <w:jc w:val="both"/>
        <w:rPr>
          <w:sz w:val="22"/>
          <w:szCs w:val="22"/>
        </w:rPr>
      </w:pPr>
      <w:r>
        <w:rPr>
          <w:sz w:val="22"/>
          <w:szCs w:val="22"/>
        </w:rPr>
        <w:t xml:space="preserve">mobility and accessibility </w:t>
      </w:r>
      <w:proofErr w:type="gramStart"/>
      <w:r>
        <w:rPr>
          <w:sz w:val="22"/>
          <w:szCs w:val="22"/>
        </w:rPr>
        <w:t>impacts</w:t>
      </w:r>
      <w:proofErr w:type="gramEnd"/>
      <w:r>
        <w:rPr>
          <w:sz w:val="22"/>
          <w:szCs w:val="22"/>
        </w:rPr>
        <w:t xml:space="preserve"> of digital healthcare and neighbourhood hubs</w:t>
      </w:r>
    </w:p>
    <w:p w14:paraId="01B9F603" w14:textId="17C6922C" w:rsidR="0090632F" w:rsidRDefault="0090632F" w:rsidP="0090632F">
      <w:pPr>
        <w:pStyle w:val="Default"/>
        <w:numPr>
          <w:ilvl w:val="0"/>
          <w:numId w:val="3"/>
        </w:numPr>
        <w:jc w:val="both"/>
        <w:rPr>
          <w:sz w:val="22"/>
          <w:szCs w:val="22"/>
        </w:rPr>
      </w:pPr>
      <w:r w:rsidRPr="0090632F">
        <w:rPr>
          <w:sz w:val="22"/>
          <w:szCs w:val="22"/>
        </w:rPr>
        <w:t>new solutions towards maximising health co-benefits and reducing health inequalities associated with low-carbon transport interventions</w:t>
      </w:r>
    </w:p>
    <w:p w14:paraId="7DD6B468" w14:textId="575A4A3B" w:rsidR="005A3892" w:rsidRDefault="005A3892" w:rsidP="005A3892">
      <w:pPr>
        <w:pStyle w:val="Default"/>
        <w:numPr>
          <w:ilvl w:val="0"/>
          <w:numId w:val="3"/>
        </w:numPr>
        <w:jc w:val="both"/>
        <w:rPr>
          <w:sz w:val="22"/>
          <w:szCs w:val="22"/>
        </w:rPr>
      </w:pPr>
      <w:r w:rsidRPr="005A3892">
        <w:rPr>
          <w:sz w:val="22"/>
          <w:szCs w:val="22"/>
        </w:rPr>
        <w:t>empirical case studies, theoretical contributions</w:t>
      </w:r>
      <w:r w:rsidR="00AC746A">
        <w:rPr>
          <w:sz w:val="22"/>
          <w:szCs w:val="22"/>
        </w:rPr>
        <w:t xml:space="preserve"> on cross-sector collaborations between the transport and health sectors</w:t>
      </w:r>
      <w:r w:rsidRPr="005A3892">
        <w:rPr>
          <w:sz w:val="22"/>
          <w:szCs w:val="22"/>
        </w:rPr>
        <w:t xml:space="preserve"> </w:t>
      </w:r>
    </w:p>
    <w:p w14:paraId="2AA7A2CA" w14:textId="75F8E394" w:rsidR="005A3892" w:rsidRPr="005A3892" w:rsidRDefault="00A20345" w:rsidP="005A3892">
      <w:pPr>
        <w:pStyle w:val="Default"/>
        <w:numPr>
          <w:ilvl w:val="0"/>
          <w:numId w:val="3"/>
        </w:numPr>
        <w:jc w:val="both"/>
        <w:rPr>
          <w:sz w:val="22"/>
          <w:szCs w:val="22"/>
        </w:rPr>
      </w:pPr>
      <w:r>
        <w:rPr>
          <w:sz w:val="22"/>
          <w:szCs w:val="22"/>
        </w:rPr>
        <w:t>wider implications for public health of vehicle electrification and autonomous</w:t>
      </w:r>
      <w:r w:rsidR="007C4CF4">
        <w:rPr>
          <w:sz w:val="22"/>
          <w:szCs w:val="22"/>
        </w:rPr>
        <w:t xml:space="preserve"> cars</w:t>
      </w:r>
    </w:p>
    <w:p w14:paraId="6014C8CA" w14:textId="77777777" w:rsidR="005A3892" w:rsidRPr="005A3892" w:rsidRDefault="005A3892" w:rsidP="005A3892">
      <w:pPr>
        <w:pStyle w:val="Default"/>
        <w:jc w:val="both"/>
        <w:rPr>
          <w:sz w:val="22"/>
          <w:szCs w:val="22"/>
        </w:rPr>
      </w:pPr>
    </w:p>
    <w:p w14:paraId="3548B818" w14:textId="77777777" w:rsidR="005A3892" w:rsidRDefault="005A3892" w:rsidP="0014191E">
      <w:pPr>
        <w:pStyle w:val="Default"/>
        <w:jc w:val="both"/>
        <w:rPr>
          <w:sz w:val="22"/>
          <w:szCs w:val="22"/>
        </w:rPr>
      </w:pPr>
    </w:p>
    <w:p w14:paraId="31D6446A" w14:textId="584F119B" w:rsidR="00296FAB" w:rsidRDefault="00296FAB" w:rsidP="00296FAB">
      <w:pPr>
        <w:pStyle w:val="Default"/>
        <w:rPr>
          <w:sz w:val="22"/>
          <w:szCs w:val="22"/>
        </w:rPr>
      </w:pPr>
      <w:r>
        <w:rPr>
          <w:b/>
          <w:bCs/>
          <w:sz w:val="22"/>
          <w:szCs w:val="22"/>
        </w:rPr>
        <w:t xml:space="preserve">Deadline for abstract submission </w:t>
      </w:r>
    </w:p>
    <w:p w14:paraId="040B7106" w14:textId="3DACF758" w:rsidR="00296FAB" w:rsidRDefault="00296FAB" w:rsidP="007364B6">
      <w:pPr>
        <w:pStyle w:val="Default"/>
        <w:jc w:val="both"/>
        <w:rPr>
          <w:sz w:val="22"/>
          <w:szCs w:val="22"/>
        </w:rPr>
      </w:pPr>
      <w:r>
        <w:rPr>
          <w:sz w:val="22"/>
          <w:szCs w:val="22"/>
        </w:rPr>
        <w:t>The deadline for abstract submission is January 31, 202</w:t>
      </w:r>
      <w:r w:rsidR="007364B6">
        <w:rPr>
          <w:sz w:val="22"/>
          <w:szCs w:val="22"/>
        </w:rPr>
        <w:t>6</w:t>
      </w:r>
      <w:r>
        <w:rPr>
          <w:sz w:val="22"/>
          <w:szCs w:val="22"/>
        </w:rPr>
        <w:t xml:space="preserve">. Abstracts (max. 500 words) should be submitted electronically, using the form available on the conference website and following the instructions found there: </w:t>
      </w:r>
      <w:hyperlink r:id="rId9" w:history="1">
        <w:r w:rsidR="007364B6" w:rsidRPr="006A5193">
          <w:rPr>
            <w:rStyle w:val="Hyperlink"/>
            <w:sz w:val="22"/>
            <w:szCs w:val="22"/>
          </w:rPr>
          <w:t>https://nectar26.eu/</w:t>
        </w:r>
      </w:hyperlink>
      <w:r w:rsidR="007364B6">
        <w:rPr>
          <w:sz w:val="22"/>
          <w:szCs w:val="22"/>
        </w:rPr>
        <w:t xml:space="preserve"> </w:t>
      </w:r>
    </w:p>
    <w:p w14:paraId="74DB47AF" w14:textId="77777777" w:rsidR="00296FAB" w:rsidRDefault="00296FAB" w:rsidP="007364B6">
      <w:pPr>
        <w:pStyle w:val="Default"/>
        <w:jc w:val="both"/>
        <w:rPr>
          <w:color w:val="0000FF"/>
          <w:sz w:val="22"/>
          <w:szCs w:val="22"/>
        </w:rPr>
      </w:pPr>
    </w:p>
    <w:p w14:paraId="3BA18BA5" w14:textId="78931530" w:rsidR="0014191E" w:rsidRDefault="0084724A" w:rsidP="007364B6">
      <w:pPr>
        <w:pStyle w:val="Default"/>
        <w:jc w:val="both"/>
        <w:rPr>
          <w:lang w:val="en-CA"/>
        </w:rPr>
      </w:pPr>
      <w:r>
        <w:rPr>
          <w:rStyle w:val="normaltextrun"/>
          <w:sz w:val="22"/>
          <w:szCs w:val="22"/>
          <w:shd w:val="clear" w:color="auto" w:fill="FFFFFF"/>
          <w:lang w:val="en-CA"/>
        </w:rPr>
        <w:t xml:space="preserve">A copy of the abstract should also be sent to </w:t>
      </w:r>
      <w:r w:rsidR="0090632F" w:rsidRPr="0090632F">
        <w:rPr>
          <w:rStyle w:val="normaltextrun"/>
          <w:sz w:val="22"/>
          <w:szCs w:val="22"/>
          <w:shd w:val="clear" w:color="auto" w:fill="FFFFFF"/>
          <w:lang w:val="en-US"/>
        </w:rPr>
        <w:t>Karst Geurs</w:t>
      </w:r>
      <w:r w:rsidR="0090632F">
        <w:rPr>
          <w:rStyle w:val="normaltextrun"/>
          <w:sz w:val="22"/>
          <w:szCs w:val="22"/>
          <w:shd w:val="clear" w:color="auto" w:fill="FFFFFF"/>
          <w:lang w:val="en-US"/>
        </w:rPr>
        <w:t xml:space="preserve"> (</w:t>
      </w:r>
      <w:hyperlink r:id="rId10" w:history="1">
        <w:r w:rsidR="00133E3E" w:rsidRPr="000D50B7">
          <w:rPr>
            <w:rStyle w:val="Hyperlink"/>
            <w:sz w:val="22"/>
            <w:szCs w:val="22"/>
            <w:shd w:val="clear" w:color="auto" w:fill="FFFFFF"/>
            <w:lang w:val="en-US"/>
          </w:rPr>
          <w:t>k.t.geurs@utwente.nl</w:t>
        </w:r>
      </w:hyperlink>
      <w:r w:rsidR="0090632F">
        <w:rPr>
          <w:rStyle w:val="normaltextrun"/>
          <w:sz w:val="22"/>
          <w:szCs w:val="22"/>
          <w:shd w:val="clear" w:color="auto" w:fill="FFFFFF"/>
          <w:lang w:val="en-US"/>
        </w:rPr>
        <w:t>)</w:t>
      </w:r>
      <w:r w:rsidR="00133E3E">
        <w:rPr>
          <w:rStyle w:val="normaltextrun"/>
          <w:sz w:val="22"/>
          <w:szCs w:val="22"/>
          <w:shd w:val="clear" w:color="auto" w:fill="FFFFFF"/>
          <w:lang w:val="en-US"/>
        </w:rPr>
        <w:t xml:space="preserve"> and Maria Attard (</w:t>
      </w:r>
      <w:hyperlink r:id="rId11" w:history="1">
        <w:r w:rsidR="00133E3E" w:rsidRPr="000D50B7">
          <w:rPr>
            <w:rStyle w:val="Hyperlink"/>
            <w:sz w:val="22"/>
            <w:szCs w:val="22"/>
            <w:shd w:val="clear" w:color="auto" w:fill="FFFFFF"/>
            <w:lang w:val="en-US"/>
          </w:rPr>
          <w:t>maria.attard@um.edu.mt</w:t>
        </w:r>
      </w:hyperlink>
      <w:r w:rsidR="00133E3E">
        <w:rPr>
          <w:rStyle w:val="normaltextrun"/>
          <w:sz w:val="22"/>
          <w:szCs w:val="22"/>
          <w:shd w:val="clear" w:color="auto" w:fill="FFFFFF"/>
          <w:lang w:val="en-US"/>
        </w:rPr>
        <w:t>).</w:t>
      </w:r>
    </w:p>
    <w:p w14:paraId="0FF7B33D" w14:textId="77777777" w:rsidR="0084724A" w:rsidRDefault="0084724A" w:rsidP="007364B6">
      <w:pPr>
        <w:pStyle w:val="Default"/>
        <w:jc w:val="both"/>
        <w:rPr>
          <w:color w:val="0000FF"/>
          <w:sz w:val="22"/>
          <w:szCs w:val="22"/>
        </w:rPr>
      </w:pPr>
    </w:p>
    <w:p w14:paraId="64A230C4" w14:textId="77777777" w:rsidR="00296FAB" w:rsidRDefault="00296FAB" w:rsidP="007364B6">
      <w:pPr>
        <w:pStyle w:val="Default"/>
        <w:jc w:val="both"/>
        <w:rPr>
          <w:sz w:val="22"/>
          <w:szCs w:val="22"/>
        </w:rPr>
      </w:pPr>
      <w:r>
        <w:rPr>
          <w:b/>
          <w:bCs/>
          <w:sz w:val="22"/>
          <w:szCs w:val="22"/>
        </w:rPr>
        <w:t xml:space="preserve">Criteria for acceptance </w:t>
      </w:r>
    </w:p>
    <w:p w14:paraId="3D35C72A" w14:textId="5906C901" w:rsidR="00296FAB" w:rsidRDefault="0084724A" w:rsidP="007364B6">
      <w:pPr>
        <w:pStyle w:val="Default"/>
        <w:jc w:val="both"/>
        <w:rPr>
          <w:sz w:val="22"/>
          <w:szCs w:val="22"/>
        </w:rPr>
      </w:pPr>
      <w:r>
        <w:rPr>
          <w:rStyle w:val="normaltextrun"/>
          <w:sz w:val="22"/>
          <w:szCs w:val="22"/>
          <w:shd w:val="clear" w:color="auto" w:fill="FFFFFF"/>
          <w:lang w:val="en-CA"/>
        </w:rPr>
        <w:t>Criteria for acceptance are scope, scientific quality, NECTAR membership</w:t>
      </w:r>
      <w:r w:rsidR="008D5309">
        <w:rPr>
          <w:rStyle w:val="normaltextrun"/>
          <w:sz w:val="22"/>
          <w:szCs w:val="22"/>
          <w:shd w:val="clear" w:color="auto" w:fill="FFFFFF"/>
          <w:lang w:val="en-CA"/>
        </w:rPr>
        <w:t>,</w:t>
      </w:r>
      <w:r>
        <w:rPr>
          <w:rStyle w:val="normaltextrun"/>
          <w:sz w:val="22"/>
          <w:szCs w:val="22"/>
          <w:shd w:val="clear" w:color="auto" w:fill="FFFFFF"/>
          <w:lang w:val="en-CA"/>
        </w:rPr>
        <w:t xml:space="preserve"> and the possibility </w:t>
      </w:r>
      <w:r w:rsidR="00F9354B">
        <w:rPr>
          <w:rStyle w:val="normaltextrun"/>
          <w:sz w:val="22"/>
          <w:szCs w:val="22"/>
          <w:shd w:val="clear" w:color="auto" w:fill="FFFFFF"/>
          <w:lang w:val="en-CA"/>
        </w:rPr>
        <w:t>of</w:t>
      </w:r>
      <w:r>
        <w:rPr>
          <w:rStyle w:val="normaltextrun"/>
          <w:sz w:val="22"/>
          <w:szCs w:val="22"/>
          <w:shd w:val="clear" w:color="auto" w:fill="FFFFFF"/>
          <w:lang w:val="en-CA"/>
        </w:rPr>
        <w:t xml:space="preserve"> fit</w:t>
      </w:r>
      <w:r w:rsidR="00F9354B">
        <w:rPr>
          <w:rStyle w:val="normaltextrun"/>
          <w:sz w:val="22"/>
          <w:szCs w:val="22"/>
          <w:shd w:val="clear" w:color="auto" w:fill="FFFFFF"/>
          <w:lang w:val="en-CA"/>
        </w:rPr>
        <w:t>ting</w:t>
      </w:r>
      <w:r>
        <w:rPr>
          <w:rStyle w:val="normaltextrun"/>
          <w:sz w:val="22"/>
          <w:szCs w:val="22"/>
          <w:shd w:val="clear" w:color="auto" w:fill="FFFFFF"/>
          <w:lang w:val="en-CA"/>
        </w:rPr>
        <w:t xml:space="preserve"> the presentation in a coherent conference session. The </w:t>
      </w:r>
      <w:r>
        <w:rPr>
          <w:rStyle w:val="normaltextrun"/>
          <w:sz w:val="22"/>
          <w:szCs w:val="22"/>
          <w:shd w:val="clear" w:color="auto" w:fill="FFFFFF"/>
          <w:lang w:val="en-US"/>
        </w:rPr>
        <w:t xml:space="preserve">number of participants </w:t>
      </w:r>
      <w:r w:rsidR="00F9354B">
        <w:rPr>
          <w:rStyle w:val="normaltextrun"/>
          <w:sz w:val="22"/>
          <w:szCs w:val="22"/>
          <w:shd w:val="clear" w:color="auto" w:fill="FFFFFF"/>
          <w:lang w:val="en-US"/>
        </w:rPr>
        <w:t>in</w:t>
      </w:r>
      <w:r>
        <w:rPr>
          <w:rStyle w:val="normaltextrun"/>
          <w:sz w:val="22"/>
          <w:szCs w:val="22"/>
          <w:shd w:val="clear" w:color="auto" w:fill="FFFFFF"/>
          <w:lang w:val="en-US"/>
        </w:rPr>
        <w:t xml:space="preserve"> this thematic session will be limited to 8.</w:t>
      </w:r>
      <w:r w:rsidR="00296FAB">
        <w:rPr>
          <w:sz w:val="22"/>
          <w:szCs w:val="22"/>
        </w:rPr>
        <w:t xml:space="preserve"> </w:t>
      </w:r>
    </w:p>
    <w:p w14:paraId="635447A1" w14:textId="77777777" w:rsidR="00296FAB" w:rsidRDefault="00296FAB" w:rsidP="007364B6">
      <w:pPr>
        <w:pStyle w:val="Default"/>
        <w:jc w:val="both"/>
        <w:rPr>
          <w:b/>
          <w:bCs/>
          <w:sz w:val="22"/>
          <w:szCs w:val="22"/>
        </w:rPr>
      </w:pPr>
    </w:p>
    <w:p w14:paraId="532668AE" w14:textId="1B59E935" w:rsidR="00296FAB" w:rsidRDefault="00296FAB" w:rsidP="007364B6">
      <w:pPr>
        <w:pStyle w:val="Default"/>
        <w:jc w:val="both"/>
        <w:rPr>
          <w:sz w:val="22"/>
          <w:szCs w:val="22"/>
        </w:rPr>
      </w:pPr>
      <w:r>
        <w:rPr>
          <w:b/>
          <w:bCs/>
          <w:sz w:val="22"/>
          <w:szCs w:val="22"/>
        </w:rPr>
        <w:t xml:space="preserve">Venue </w:t>
      </w:r>
    </w:p>
    <w:p w14:paraId="36D8272F" w14:textId="2D264390" w:rsidR="00296FAB" w:rsidRDefault="007364B6" w:rsidP="007364B6">
      <w:pPr>
        <w:pStyle w:val="Default"/>
        <w:jc w:val="both"/>
        <w:rPr>
          <w:sz w:val="22"/>
          <w:szCs w:val="22"/>
        </w:rPr>
      </w:pPr>
      <w:r w:rsidRPr="007364B6">
        <w:rPr>
          <w:sz w:val="22"/>
          <w:szCs w:val="22"/>
        </w:rPr>
        <w:t xml:space="preserve">NECTAR 2026 </w:t>
      </w:r>
      <w:r>
        <w:rPr>
          <w:sz w:val="22"/>
          <w:szCs w:val="22"/>
        </w:rPr>
        <w:t>will be</w:t>
      </w:r>
      <w:r w:rsidRPr="007364B6">
        <w:rPr>
          <w:sz w:val="22"/>
          <w:szCs w:val="22"/>
        </w:rPr>
        <w:t xml:space="preserve"> hosted by the Accessibility Planning Research Group at Chair of Urban Structures and Transport Planning, Technical University of Munich (TUM), </w:t>
      </w:r>
      <w:r w:rsidR="00E902E4">
        <w:rPr>
          <w:sz w:val="22"/>
          <w:szCs w:val="22"/>
        </w:rPr>
        <w:t xml:space="preserve">at the Technical University of Munich, </w:t>
      </w:r>
      <w:r w:rsidRPr="007364B6">
        <w:rPr>
          <w:sz w:val="22"/>
          <w:szCs w:val="22"/>
        </w:rPr>
        <w:t>in collaboration with the NECTAR Board and its thematic clusters.</w:t>
      </w:r>
      <w:r>
        <w:rPr>
          <w:sz w:val="22"/>
          <w:szCs w:val="22"/>
        </w:rPr>
        <w:t xml:space="preserve"> </w:t>
      </w:r>
    </w:p>
    <w:p w14:paraId="211CC8B1" w14:textId="77777777" w:rsidR="00296FAB" w:rsidRDefault="00296FAB" w:rsidP="007364B6">
      <w:pPr>
        <w:pStyle w:val="Default"/>
        <w:jc w:val="both"/>
        <w:rPr>
          <w:sz w:val="22"/>
          <w:szCs w:val="22"/>
        </w:rPr>
      </w:pPr>
    </w:p>
    <w:p w14:paraId="7A311253" w14:textId="1D6404E7" w:rsidR="00296FAB" w:rsidRDefault="00296FAB" w:rsidP="007364B6">
      <w:pPr>
        <w:pStyle w:val="Default"/>
        <w:jc w:val="both"/>
        <w:rPr>
          <w:sz w:val="22"/>
          <w:szCs w:val="22"/>
        </w:rPr>
      </w:pPr>
      <w:r>
        <w:rPr>
          <w:b/>
          <w:bCs/>
          <w:sz w:val="22"/>
          <w:szCs w:val="22"/>
        </w:rPr>
        <w:t xml:space="preserve">Participation and NECTAR membership </w:t>
      </w:r>
    </w:p>
    <w:p w14:paraId="4798F004" w14:textId="72D985AF" w:rsidR="00296FAB" w:rsidRDefault="00296FAB" w:rsidP="007364B6">
      <w:pPr>
        <w:pStyle w:val="Default"/>
        <w:jc w:val="both"/>
        <w:rPr>
          <w:sz w:val="22"/>
          <w:szCs w:val="22"/>
        </w:rPr>
      </w:pPr>
      <w:r>
        <w:rPr>
          <w:sz w:val="22"/>
          <w:szCs w:val="22"/>
        </w:rPr>
        <w:t>All practical details will be communicated through the conference website. In order to participate in the conference, a consecutive and current two-year NECTAR membership is necessary (202</w:t>
      </w:r>
      <w:r w:rsidR="007364B6">
        <w:rPr>
          <w:sz w:val="22"/>
          <w:szCs w:val="22"/>
        </w:rPr>
        <w:t>4</w:t>
      </w:r>
      <w:r>
        <w:rPr>
          <w:sz w:val="22"/>
          <w:szCs w:val="22"/>
        </w:rPr>
        <w:t>-202</w:t>
      </w:r>
      <w:r w:rsidR="007364B6">
        <w:rPr>
          <w:sz w:val="22"/>
          <w:szCs w:val="22"/>
        </w:rPr>
        <w:t>6</w:t>
      </w:r>
      <w:r>
        <w:rPr>
          <w:sz w:val="22"/>
          <w:szCs w:val="22"/>
        </w:rPr>
        <w:t xml:space="preserve">). </w:t>
      </w:r>
      <w:r>
        <w:rPr>
          <w:sz w:val="22"/>
          <w:szCs w:val="22"/>
        </w:rPr>
        <w:lastRenderedPageBreak/>
        <w:t xml:space="preserve">Non-members can find details of how to join the association on the “Membership” page of NECTAR’s website: </w:t>
      </w:r>
      <w:hyperlink r:id="rId12" w:history="1">
        <w:r w:rsidR="007364B6" w:rsidRPr="006A5193">
          <w:rPr>
            <w:rStyle w:val="Hyperlink"/>
            <w:sz w:val="22"/>
            <w:szCs w:val="22"/>
          </w:rPr>
          <w:t>www.nectar-eu.eu/membership</w:t>
        </w:r>
      </w:hyperlink>
      <w:r w:rsidR="007364B6">
        <w:rPr>
          <w:color w:val="0000FF"/>
          <w:sz w:val="22"/>
          <w:szCs w:val="22"/>
        </w:rPr>
        <w:t xml:space="preserve"> </w:t>
      </w:r>
      <w:r>
        <w:rPr>
          <w:sz w:val="22"/>
          <w:szCs w:val="22"/>
        </w:rPr>
        <w:t xml:space="preserve"> </w:t>
      </w:r>
    </w:p>
    <w:p w14:paraId="469C4D5D" w14:textId="77777777" w:rsidR="00296FAB" w:rsidRDefault="00296FAB" w:rsidP="00296FAB">
      <w:pPr>
        <w:pStyle w:val="Default"/>
        <w:rPr>
          <w:b/>
          <w:bCs/>
          <w:sz w:val="22"/>
          <w:szCs w:val="22"/>
        </w:rPr>
      </w:pPr>
    </w:p>
    <w:p w14:paraId="513C98A7" w14:textId="684BFFAC" w:rsidR="00296FAB" w:rsidRDefault="00296FAB" w:rsidP="00296FAB">
      <w:pPr>
        <w:pStyle w:val="Default"/>
        <w:rPr>
          <w:sz w:val="22"/>
          <w:szCs w:val="22"/>
        </w:rPr>
      </w:pPr>
      <w:r>
        <w:rPr>
          <w:b/>
          <w:bCs/>
          <w:sz w:val="22"/>
          <w:szCs w:val="22"/>
        </w:rPr>
        <w:t xml:space="preserve">Important dates </w:t>
      </w:r>
    </w:p>
    <w:p w14:paraId="1CB91849" w14:textId="39932A7E" w:rsidR="00296FAB" w:rsidRDefault="00296FAB" w:rsidP="00296FAB">
      <w:pPr>
        <w:pStyle w:val="Default"/>
        <w:rPr>
          <w:sz w:val="22"/>
          <w:szCs w:val="22"/>
        </w:rPr>
      </w:pPr>
      <w:r>
        <w:rPr>
          <w:sz w:val="22"/>
          <w:szCs w:val="22"/>
        </w:rPr>
        <w:t>Abstract submission: Jan</w:t>
      </w:r>
      <w:r w:rsidR="00540C3C">
        <w:rPr>
          <w:sz w:val="22"/>
          <w:szCs w:val="22"/>
        </w:rPr>
        <w:t>uary</w:t>
      </w:r>
      <w:r>
        <w:rPr>
          <w:sz w:val="22"/>
          <w:szCs w:val="22"/>
        </w:rPr>
        <w:t xml:space="preserve"> 31, 2026 </w:t>
      </w:r>
    </w:p>
    <w:p w14:paraId="03E5654A" w14:textId="5D7C7060" w:rsidR="00296FAB" w:rsidRDefault="00296FAB" w:rsidP="00296FAB">
      <w:pPr>
        <w:pStyle w:val="Default"/>
        <w:rPr>
          <w:sz w:val="22"/>
          <w:szCs w:val="22"/>
        </w:rPr>
      </w:pPr>
      <w:r>
        <w:rPr>
          <w:sz w:val="22"/>
          <w:szCs w:val="22"/>
        </w:rPr>
        <w:t>Notification of acceptance: Apr</w:t>
      </w:r>
      <w:r w:rsidR="00540C3C">
        <w:rPr>
          <w:sz w:val="22"/>
          <w:szCs w:val="22"/>
        </w:rPr>
        <w:t>il</w:t>
      </w:r>
      <w:r>
        <w:rPr>
          <w:sz w:val="22"/>
          <w:szCs w:val="22"/>
        </w:rPr>
        <w:t xml:space="preserve"> 1, 2026 </w:t>
      </w:r>
    </w:p>
    <w:p w14:paraId="126B8746" w14:textId="57405770" w:rsidR="00296FAB" w:rsidRDefault="00296FAB" w:rsidP="00296FAB">
      <w:pPr>
        <w:pStyle w:val="Default"/>
        <w:rPr>
          <w:sz w:val="22"/>
          <w:szCs w:val="22"/>
        </w:rPr>
      </w:pPr>
      <w:r>
        <w:rPr>
          <w:sz w:val="22"/>
          <w:szCs w:val="22"/>
        </w:rPr>
        <w:t xml:space="preserve">Confirmation of attendance: April 30, 2026 </w:t>
      </w:r>
    </w:p>
    <w:p w14:paraId="1610F054" w14:textId="77777777" w:rsidR="00296FAB" w:rsidRDefault="00296FAB" w:rsidP="00296FAB">
      <w:pPr>
        <w:pStyle w:val="Default"/>
        <w:rPr>
          <w:sz w:val="22"/>
          <w:szCs w:val="22"/>
        </w:rPr>
      </w:pPr>
    </w:p>
    <w:p w14:paraId="42315588" w14:textId="5F064DEC" w:rsidR="00296FAB" w:rsidRDefault="00296FAB" w:rsidP="00296FAB">
      <w:pPr>
        <w:pStyle w:val="Default"/>
        <w:rPr>
          <w:sz w:val="22"/>
          <w:szCs w:val="22"/>
        </w:rPr>
      </w:pPr>
      <w:r>
        <w:rPr>
          <w:sz w:val="22"/>
          <w:szCs w:val="22"/>
        </w:rPr>
        <w:t xml:space="preserve">We look forward to seeing you in </w:t>
      </w:r>
      <w:r w:rsidR="0014191E">
        <w:rPr>
          <w:sz w:val="22"/>
          <w:szCs w:val="22"/>
        </w:rPr>
        <w:t>Munich</w:t>
      </w:r>
      <w:r>
        <w:rPr>
          <w:sz w:val="22"/>
          <w:szCs w:val="22"/>
        </w:rPr>
        <w:t xml:space="preserve">! </w:t>
      </w:r>
    </w:p>
    <w:p w14:paraId="338CD6C2" w14:textId="77777777" w:rsidR="0014191E" w:rsidRDefault="0014191E" w:rsidP="00296FAB">
      <w:pPr>
        <w:pStyle w:val="Default"/>
        <w:rPr>
          <w:sz w:val="22"/>
          <w:szCs w:val="22"/>
        </w:rPr>
      </w:pPr>
    </w:p>
    <w:p w14:paraId="4FE84238" w14:textId="683FA005" w:rsidR="00777EAE" w:rsidRDefault="00777EAE" w:rsidP="00296FAB">
      <w:pPr>
        <w:pStyle w:val="Default"/>
        <w:rPr>
          <w:sz w:val="22"/>
          <w:szCs w:val="22"/>
        </w:rPr>
      </w:pPr>
      <w:r>
        <w:rPr>
          <w:sz w:val="22"/>
          <w:szCs w:val="22"/>
        </w:rPr>
        <w:t xml:space="preserve">Karst Geurs, </w:t>
      </w:r>
      <w:r w:rsidR="0090632F">
        <w:rPr>
          <w:sz w:val="22"/>
          <w:szCs w:val="22"/>
        </w:rPr>
        <w:t xml:space="preserve">NECTAR vice-chair, </w:t>
      </w:r>
      <w:r>
        <w:rPr>
          <w:sz w:val="22"/>
          <w:szCs w:val="22"/>
        </w:rPr>
        <w:t>University of Twente, the Netherlands</w:t>
      </w:r>
      <w:r w:rsidR="0090632F">
        <w:rPr>
          <w:sz w:val="22"/>
          <w:szCs w:val="22"/>
        </w:rPr>
        <w:t xml:space="preserve"> </w:t>
      </w:r>
    </w:p>
    <w:p w14:paraId="007E8F05" w14:textId="77E42BCE" w:rsidR="000E79A5" w:rsidRDefault="000E79A5" w:rsidP="00296FAB">
      <w:pPr>
        <w:pStyle w:val="Default"/>
        <w:rPr>
          <w:sz w:val="22"/>
          <w:szCs w:val="22"/>
        </w:rPr>
      </w:pPr>
      <w:r>
        <w:rPr>
          <w:sz w:val="22"/>
          <w:szCs w:val="22"/>
        </w:rPr>
        <w:t>Sander Lenferink, Radboud University</w:t>
      </w:r>
      <w:r w:rsidR="00133E3E">
        <w:rPr>
          <w:sz w:val="22"/>
          <w:szCs w:val="22"/>
        </w:rPr>
        <w:t>, the Netherlands</w:t>
      </w:r>
    </w:p>
    <w:p w14:paraId="3BA4F8AA" w14:textId="6A5F8E6E" w:rsidR="00777EAE" w:rsidRDefault="00777EAE" w:rsidP="00296FAB">
      <w:pPr>
        <w:pStyle w:val="Default"/>
        <w:rPr>
          <w:sz w:val="22"/>
          <w:szCs w:val="22"/>
        </w:rPr>
      </w:pPr>
      <w:r>
        <w:rPr>
          <w:sz w:val="22"/>
          <w:szCs w:val="22"/>
        </w:rPr>
        <w:t>Peter Jones, University College London, United Kingdom</w:t>
      </w:r>
    </w:p>
    <w:p w14:paraId="401BCC8E" w14:textId="2B7BBEAE" w:rsidR="00296FAB" w:rsidRDefault="00777EAE" w:rsidP="00296FAB">
      <w:pPr>
        <w:pStyle w:val="Default"/>
        <w:rPr>
          <w:sz w:val="22"/>
          <w:szCs w:val="22"/>
        </w:rPr>
      </w:pPr>
      <w:r>
        <w:rPr>
          <w:sz w:val="22"/>
          <w:szCs w:val="22"/>
        </w:rPr>
        <w:t xml:space="preserve">Maria Attard, </w:t>
      </w:r>
      <w:r w:rsidR="0090632F">
        <w:rPr>
          <w:sz w:val="22"/>
          <w:szCs w:val="22"/>
        </w:rPr>
        <w:t xml:space="preserve">NECTAR chair, Cluster 2 co-chair, </w:t>
      </w:r>
      <w:r>
        <w:rPr>
          <w:sz w:val="22"/>
          <w:szCs w:val="22"/>
        </w:rPr>
        <w:t>University of Malta, Malta</w:t>
      </w:r>
    </w:p>
    <w:p w14:paraId="716F2BB2" w14:textId="77777777" w:rsidR="00973BD3" w:rsidRDefault="00973BD3" w:rsidP="00973BD3">
      <w:pPr>
        <w:pStyle w:val="Default"/>
        <w:rPr>
          <w:sz w:val="22"/>
          <w:szCs w:val="22"/>
        </w:rPr>
      </w:pPr>
      <w:r>
        <w:rPr>
          <w:sz w:val="22"/>
          <w:szCs w:val="22"/>
        </w:rPr>
        <w:t xml:space="preserve">Deb </w:t>
      </w:r>
      <w:proofErr w:type="spellStart"/>
      <w:r>
        <w:rPr>
          <w:sz w:val="22"/>
          <w:szCs w:val="22"/>
        </w:rPr>
        <w:t>Neiemier</w:t>
      </w:r>
      <w:proofErr w:type="spellEnd"/>
      <w:r>
        <w:rPr>
          <w:sz w:val="22"/>
          <w:szCs w:val="22"/>
        </w:rPr>
        <w:t xml:space="preserve">, Cluster 2 co-chair, </w:t>
      </w:r>
      <w:r w:rsidRPr="00973BD3">
        <w:rPr>
          <w:sz w:val="22"/>
          <w:szCs w:val="22"/>
        </w:rPr>
        <w:t>University of Maryland, United States</w:t>
      </w:r>
    </w:p>
    <w:p w14:paraId="18894F88" w14:textId="77D8D7E1" w:rsidR="00973BD3" w:rsidRDefault="00973BD3" w:rsidP="00973BD3">
      <w:pPr>
        <w:pStyle w:val="Default"/>
        <w:rPr>
          <w:sz w:val="22"/>
          <w:szCs w:val="22"/>
        </w:rPr>
      </w:pPr>
      <w:r>
        <w:rPr>
          <w:sz w:val="22"/>
          <w:szCs w:val="22"/>
        </w:rPr>
        <w:t xml:space="preserve">Wafa Elias, Cluster 2 co-chair, </w:t>
      </w:r>
      <w:r w:rsidRPr="00973BD3">
        <w:rPr>
          <w:sz w:val="22"/>
          <w:szCs w:val="22"/>
        </w:rPr>
        <w:t>SCE- Shamoon College of Engineering</w:t>
      </w:r>
      <w:r w:rsidR="00540C3C">
        <w:rPr>
          <w:sz w:val="22"/>
          <w:szCs w:val="22"/>
        </w:rPr>
        <w:t>, Israel</w:t>
      </w:r>
    </w:p>
    <w:p w14:paraId="0D77334D" w14:textId="18C1D3D3" w:rsidR="00973BD3" w:rsidRDefault="00973BD3" w:rsidP="00296FAB">
      <w:pPr>
        <w:pStyle w:val="Default"/>
        <w:rPr>
          <w:sz w:val="22"/>
          <w:szCs w:val="22"/>
        </w:rPr>
      </w:pPr>
      <w:r>
        <w:rPr>
          <w:sz w:val="22"/>
          <w:szCs w:val="22"/>
        </w:rPr>
        <w:t>Edoardo Marcucci, Cluster 2 co-chair, University Roma Tre, Italy</w:t>
      </w:r>
    </w:p>
    <w:p w14:paraId="106A3EB3" w14:textId="77777777" w:rsidR="0084724A" w:rsidRPr="00880481" w:rsidRDefault="0084724A" w:rsidP="00296FAB">
      <w:pPr>
        <w:rPr>
          <w:b/>
          <w:bCs/>
          <w:sz w:val="15"/>
          <w:szCs w:val="15"/>
          <w:lang w:val="en-US"/>
        </w:rPr>
      </w:pPr>
    </w:p>
    <w:p w14:paraId="63554DA0" w14:textId="672E5F77" w:rsidR="00730CEE" w:rsidRPr="00880481" w:rsidRDefault="00296FAB" w:rsidP="007364B6">
      <w:pPr>
        <w:jc w:val="both"/>
        <w:rPr>
          <w:lang w:val="en-US"/>
        </w:rPr>
      </w:pPr>
      <w:r w:rsidRPr="00880481">
        <w:rPr>
          <w:b/>
          <w:bCs/>
          <w:sz w:val="15"/>
          <w:szCs w:val="15"/>
          <w:lang w:val="en-US"/>
        </w:rPr>
        <w:t xml:space="preserve">NECTAR </w:t>
      </w:r>
      <w:r w:rsidRPr="00880481">
        <w:rPr>
          <w:sz w:val="15"/>
          <w:szCs w:val="15"/>
          <w:lang w:val="en-US"/>
        </w:rPr>
        <w:t xml:space="preserve">is a European-based scientific association. The primary objective is to foster research collaboration and exchange of information between experts in the field of transport, communication and mobility from all European countries and the rest of the world. It is a multidisciplinary social science network bringing together a wide variety of perspectives on transport and communication problems and their impacts on society from an international perspective. For further information on NECTAR, use the link: </w:t>
      </w:r>
      <w:r w:rsidRPr="00880481">
        <w:rPr>
          <w:color w:val="0000FF"/>
          <w:sz w:val="15"/>
          <w:szCs w:val="15"/>
          <w:lang w:val="en-US"/>
        </w:rPr>
        <w:t>http://www.nectar-eu.eu</w:t>
      </w:r>
      <w:r w:rsidRPr="00880481">
        <w:rPr>
          <w:sz w:val="15"/>
          <w:szCs w:val="15"/>
          <w:lang w:val="en-US"/>
        </w:rPr>
        <w:t>.</w:t>
      </w:r>
    </w:p>
    <w:sectPr w:rsidR="00730CEE" w:rsidRPr="008804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altName w:val="Calibri"/>
    <w:panose1 w:val="020F0502020204030204"/>
    <w:charset w:val="A2"/>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B1CC6"/>
    <w:multiLevelType w:val="multilevel"/>
    <w:tmpl w:val="29028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497047"/>
    <w:multiLevelType w:val="hybridMultilevel"/>
    <w:tmpl w:val="37040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0549A7"/>
    <w:multiLevelType w:val="hybridMultilevel"/>
    <w:tmpl w:val="AF420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36955">
    <w:abstractNumId w:val="1"/>
  </w:num>
  <w:num w:numId="2" w16cid:durableId="1504121288">
    <w:abstractNumId w:val="0"/>
  </w:num>
  <w:num w:numId="3" w16cid:durableId="8333799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hideSpellingErrors/>
  <w:hideGrammatical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FAB"/>
    <w:rsid w:val="000630DE"/>
    <w:rsid w:val="0006646D"/>
    <w:rsid w:val="00066D81"/>
    <w:rsid w:val="000E79A5"/>
    <w:rsid w:val="00133E3E"/>
    <w:rsid w:val="0014191E"/>
    <w:rsid w:val="00207876"/>
    <w:rsid w:val="00296FAB"/>
    <w:rsid w:val="00540C3C"/>
    <w:rsid w:val="00584446"/>
    <w:rsid w:val="005A3892"/>
    <w:rsid w:val="006123B5"/>
    <w:rsid w:val="006D7EAC"/>
    <w:rsid w:val="006E4105"/>
    <w:rsid w:val="00730CEE"/>
    <w:rsid w:val="00731781"/>
    <w:rsid w:val="007364B6"/>
    <w:rsid w:val="00777EAE"/>
    <w:rsid w:val="007C4CF4"/>
    <w:rsid w:val="0084724A"/>
    <w:rsid w:val="00880481"/>
    <w:rsid w:val="008D5309"/>
    <w:rsid w:val="0090632F"/>
    <w:rsid w:val="00973BD3"/>
    <w:rsid w:val="009C0241"/>
    <w:rsid w:val="00A20345"/>
    <w:rsid w:val="00AC746A"/>
    <w:rsid w:val="00AC7E84"/>
    <w:rsid w:val="00BA7804"/>
    <w:rsid w:val="00C517D4"/>
    <w:rsid w:val="00C84293"/>
    <w:rsid w:val="00D07000"/>
    <w:rsid w:val="00E7722F"/>
    <w:rsid w:val="00E902E4"/>
    <w:rsid w:val="00EB52B2"/>
    <w:rsid w:val="00F9354B"/>
    <w:rsid w:val="00FD0ACB"/>
    <w:rsid w:val="00FE0578"/>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E575B"/>
  <w15:chartTrackingRefBased/>
  <w15:docId w15:val="{BF5A0294-C386-624D-9B0A-062316457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6F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6F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6F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6F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6F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6F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6F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6F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6F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6F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6F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6F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6F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6F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6F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6F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6F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6FAB"/>
    <w:rPr>
      <w:rFonts w:eastAsiaTheme="majorEastAsia" w:cstheme="majorBidi"/>
      <w:color w:val="272727" w:themeColor="text1" w:themeTint="D8"/>
    </w:rPr>
  </w:style>
  <w:style w:type="paragraph" w:styleId="Title">
    <w:name w:val="Title"/>
    <w:basedOn w:val="Normal"/>
    <w:next w:val="Normal"/>
    <w:link w:val="TitleChar"/>
    <w:uiPriority w:val="10"/>
    <w:qFormat/>
    <w:rsid w:val="00296F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6F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6F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6F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6FAB"/>
    <w:pPr>
      <w:spacing w:before="160"/>
      <w:jc w:val="center"/>
    </w:pPr>
    <w:rPr>
      <w:i/>
      <w:iCs/>
      <w:color w:val="404040" w:themeColor="text1" w:themeTint="BF"/>
    </w:rPr>
  </w:style>
  <w:style w:type="character" w:customStyle="1" w:styleId="QuoteChar">
    <w:name w:val="Quote Char"/>
    <w:basedOn w:val="DefaultParagraphFont"/>
    <w:link w:val="Quote"/>
    <w:uiPriority w:val="29"/>
    <w:rsid w:val="00296FAB"/>
    <w:rPr>
      <w:i/>
      <w:iCs/>
      <w:color w:val="404040" w:themeColor="text1" w:themeTint="BF"/>
    </w:rPr>
  </w:style>
  <w:style w:type="paragraph" w:styleId="ListParagraph">
    <w:name w:val="List Paragraph"/>
    <w:basedOn w:val="Normal"/>
    <w:uiPriority w:val="34"/>
    <w:qFormat/>
    <w:rsid w:val="00296FAB"/>
    <w:pPr>
      <w:ind w:left="720"/>
      <w:contextualSpacing/>
    </w:pPr>
  </w:style>
  <w:style w:type="character" w:styleId="IntenseEmphasis">
    <w:name w:val="Intense Emphasis"/>
    <w:basedOn w:val="DefaultParagraphFont"/>
    <w:uiPriority w:val="21"/>
    <w:qFormat/>
    <w:rsid w:val="00296FAB"/>
    <w:rPr>
      <w:i/>
      <w:iCs/>
      <w:color w:val="0F4761" w:themeColor="accent1" w:themeShade="BF"/>
    </w:rPr>
  </w:style>
  <w:style w:type="paragraph" w:styleId="IntenseQuote">
    <w:name w:val="Intense Quote"/>
    <w:basedOn w:val="Normal"/>
    <w:next w:val="Normal"/>
    <w:link w:val="IntenseQuoteChar"/>
    <w:uiPriority w:val="30"/>
    <w:qFormat/>
    <w:rsid w:val="00296F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6FAB"/>
    <w:rPr>
      <w:i/>
      <w:iCs/>
      <w:color w:val="0F4761" w:themeColor="accent1" w:themeShade="BF"/>
    </w:rPr>
  </w:style>
  <w:style w:type="character" w:styleId="IntenseReference">
    <w:name w:val="Intense Reference"/>
    <w:basedOn w:val="DefaultParagraphFont"/>
    <w:uiPriority w:val="32"/>
    <w:qFormat/>
    <w:rsid w:val="00296FAB"/>
    <w:rPr>
      <w:b/>
      <w:bCs/>
      <w:smallCaps/>
      <w:color w:val="0F4761" w:themeColor="accent1" w:themeShade="BF"/>
      <w:spacing w:val="5"/>
    </w:rPr>
  </w:style>
  <w:style w:type="paragraph" w:customStyle="1" w:styleId="Default">
    <w:name w:val="Default"/>
    <w:rsid w:val="00296FAB"/>
    <w:pPr>
      <w:autoSpaceDE w:val="0"/>
      <w:autoSpaceDN w:val="0"/>
      <w:adjustRightInd w:val="0"/>
      <w:spacing w:after="0" w:line="240" w:lineRule="auto"/>
    </w:pPr>
    <w:rPr>
      <w:rFonts w:ascii="Calibri" w:hAnsi="Calibri" w:cs="Calibri"/>
      <w:color w:val="000000"/>
      <w:kern w:val="0"/>
      <w:lang w:val="en-GB"/>
    </w:rPr>
  </w:style>
  <w:style w:type="character" w:styleId="Hyperlink">
    <w:name w:val="Hyperlink"/>
    <w:basedOn w:val="DefaultParagraphFont"/>
    <w:uiPriority w:val="99"/>
    <w:unhideWhenUsed/>
    <w:rsid w:val="007364B6"/>
    <w:rPr>
      <w:color w:val="467886" w:themeColor="hyperlink"/>
      <w:u w:val="single"/>
    </w:rPr>
  </w:style>
  <w:style w:type="character" w:styleId="UnresolvedMention">
    <w:name w:val="Unresolved Mention"/>
    <w:basedOn w:val="DefaultParagraphFont"/>
    <w:uiPriority w:val="99"/>
    <w:semiHidden/>
    <w:unhideWhenUsed/>
    <w:rsid w:val="007364B6"/>
    <w:rPr>
      <w:color w:val="605E5C"/>
      <w:shd w:val="clear" w:color="auto" w:fill="E1DFDD"/>
    </w:rPr>
  </w:style>
  <w:style w:type="character" w:customStyle="1" w:styleId="normaltextrun">
    <w:name w:val="normaltextrun"/>
    <w:basedOn w:val="DefaultParagraphFont"/>
    <w:rsid w:val="0084724A"/>
  </w:style>
  <w:style w:type="character" w:customStyle="1" w:styleId="eop">
    <w:name w:val="eop"/>
    <w:basedOn w:val="DefaultParagraphFont"/>
    <w:rsid w:val="0084724A"/>
  </w:style>
  <w:style w:type="paragraph" w:styleId="Revision">
    <w:name w:val="Revision"/>
    <w:hidden/>
    <w:uiPriority w:val="99"/>
    <w:semiHidden/>
    <w:rsid w:val="00880481"/>
    <w:pPr>
      <w:spacing w:after="0" w:line="240" w:lineRule="auto"/>
    </w:pPr>
  </w:style>
  <w:style w:type="paragraph" w:styleId="NormalWeb">
    <w:name w:val="Normal (Web)"/>
    <w:basedOn w:val="Normal"/>
    <w:uiPriority w:val="99"/>
    <w:unhideWhenUsed/>
    <w:rsid w:val="00777EA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FollowedHyperlink">
    <w:name w:val="FollowedHyperlink"/>
    <w:basedOn w:val="DefaultParagraphFont"/>
    <w:uiPriority w:val="99"/>
    <w:semiHidden/>
    <w:unhideWhenUsed/>
    <w:rsid w:val="00E902E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ectar-eu.eu/membersh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ia.attard@um.edu.mt" TargetMode="External"/><Relationship Id="rId5" Type="http://schemas.openxmlformats.org/officeDocument/2006/relationships/styles" Target="styles.xml"/><Relationship Id="rId10" Type="http://schemas.openxmlformats.org/officeDocument/2006/relationships/hyperlink" Target="mailto:k.t.geurs@utwente.nl" TargetMode="External"/><Relationship Id="rId4" Type="http://schemas.openxmlformats.org/officeDocument/2006/relationships/numbering" Target="numbering.xml"/><Relationship Id="rId9" Type="http://schemas.openxmlformats.org/officeDocument/2006/relationships/hyperlink" Target="https://nectar26.e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D675E21CEB6947874B696390DB8600" ma:contentTypeVersion="18" ma:contentTypeDescription="Create a new document." ma:contentTypeScope="" ma:versionID="adc7d8b8f0c2fa5b2da4f822f4f37c85">
  <xsd:schema xmlns:xsd="http://www.w3.org/2001/XMLSchema" xmlns:xs="http://www.w3.org/2001/XMLSchema" xmlns:p="http://schemas.microsoft.com/office/2006/metadata/properties" xmlns:ns3="202bafab-2fec-4223-b48f-575774eae2a8" xmlns:ns4="3164bd01-03ba-4440-9180-e2fbbdcbb452" targetNamespace="http://schemas.microsoft.com/office/2006/metadata/properties" ma:root="true" ma:fieldsID="42a799d2c95c1599b3943614de624ada" ns3:_="" ns4:_="">
    <xsd:import namespace="202bafab-2fec-4223-b48f-575774eae2a8"/>
    <xsd:import namespace="3164bd01-03ba-4440-9180-e2fbbdcbb45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_activity" minOccurs="0"/>
                <xsd:element ref="ns4:SharedWithUsers" minOccurs="0"/>
                <xsd:element ref="ns4:SharedWithDetails" minOccurs="0"/>
                <xsd:element ref="ns4:SharingHintHash" minOccurs="0"/>
                <xsd:element ref="ns3:MediaLengthInSeconds"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bafab-2fec-4223-b48f-575774eae2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64bd01-03ba-4440-9180-e2fbbdcbb45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02bafab-2fec-4223-b48f-575774eae2a8" xsi:nil="true"/>
  </documentManagement>
</p:properties>
</file>

<file path=customXml/itemProps1.xml><?xml version="1.0" encoding="utf-8"?>
<ds:datastoreItem xmlns:ds="http://schemas.openxmlformats.org/officeDocument/2006/customXml" ds:itemID="{1C1A201F-FC4D-49C7-9E43-2DA180A32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bafab-2fec-4223-b48f-575774eae2a8"/>
    <ds:schemaRef ds:uri="3164bd01-03ba-4440-9180-e2fbbdcbb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4BB791-2D99-4328-B8B6-18E21B9D3DB5}">
  <ds:schemaRefs>
    <ds:schemaRef ds:uri="http://schemas.microsoft.com/sharepoint/v3/contenttype/forms"/>
  </ds:schemaRefs>
</ds:datastoreItem>
</file>

<file path=customXml/itemProps3.xml><?xml version="1.0" encoding="utf-8"?>
<ds:datastoreItem xmlns:ds="http://schemas.openxmlformats.org/officeDocument/2006/customXml" ds:itemID="{B02F4FD5-4145-4D68-93C0-E6265C24711E}">
  <ds:schemaRefs>
    <ds:schemaRef ds:uri="http://schemas.microsoft.com/office/2006/metadata/properties"/>
    <ds:schemaRef ds:uri="http://schemas.microsoft.com/office/infopath/2007/PartnerControls"/>
    <ds:schemaRef ds:uri="202bafab-2fec-4223-b48f-575774eae2a8"/>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1123</Words>
  <Characters>6719</Characters>
  <Application>Microsoft Office Word</Application>
  <DocSecurity>0</DocSecurity>
  <Lines>671</Lines>
  <Paragraphs>490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maria.attard</dc:creator>
  <cp:keywords/>
  <dc:description/>
  <cp:lastModifiedBy>maria.attard</cp:lastModifiedBy>
  <cp:revision>5</cp:revision>
  <cp:lastPrinted>2025-10-06T19:00:00Z</cp:lastPrinted>
  <dcterms:created xsi:type="dcterms:W3CDTF">2025-10-06T19:00:00Z</dcterms:created>
  <dcterms:modified xsi:type="dcterms:W3CDTF">2025-10-17T08:40:00Z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0x01010018D675E21CEB6947874B696390DB8600</vt:lpwstr>
  </property>
</Properties>
</file>